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spacing w:lineRule="auto" w:line="276" w:before="0" w:after="0"/>
        <w:jc w:val="center"/>
        <w:rPr>
          <w:b/>
          <w:b/>
          <w:smallCaps/>
          <w:sz w:val="36"/>
          <w:szCs w:val="36"/>
          <w:lang w:val="uk-UA"/>
        </w:rPr>
      </w:pPr>
      <w:r>
        <w:rPr>
          <w:b/>
          <w:smallCaps/>
          <w:sz w:val="36"/>
          <w:szCs w:val="36"/>
          <w:lang w:val="uk-UA"/>
        </w:rPr>
        <w:t>Комунальне підприємство</w:t>
      </w:r>
    </w:p>
    <w:p>
      <w:pPr>
        <w:pStyle w:val="Style19"/>
        <w:spacing w:lineRule="auto" w:line="276" w:before="0" w:after="0"/>
        <w:jc w:val="center"/>
        <w:rPr>
          <w:b/>
          <w:b/>
          <w:smallCaps/>
          <w:sz w:val="36"/>
          <w:szCs w:val="36"/>
          <w:lang w:val="uk-UA"/>
        </w:rPr>
      </w:pPr>
      <w:r>
        <w:rPr>
          <w:b/>
          <w:smallCaps/>
          <w:sz w:val="36"/>
          <w:szCs w:val="36"/>
          <w:lang w:val="uk-UA"/>
        </w:rPr>
        <w:t>«Тернівське житлово-комунальне підприємство»</w:t>
      </w:r>
    </w:p>
    <w:p>
      <w:pPr>
        <w:pStyle w:val="Normal"/>
        <w:spacing w:before="0" w:after="0"/>
        <w:jc w:val="center"/>
        <w:rPr>
          <w:lang w:val="uk-UA"/>
        </w:rPr>
      </w:pPr>
      <w:r>
        <w:rPr>
          <w:lang w:val="uk-UA"/>
        </w:rPr>
      </w:r>
    </w:p>
    <w:p>
      <w:pPr>
        <w:pStyle w:val="Normal"/>
        <w:spacing w:before="120" w:after="120"/>
        <w:jc w:val="center"/>
        <w:rPr>
          <w:lang w:val="uk-UA"/>
        </w:rPr>
      </w:pPr>
      <w:r>
        <w:rPr>
          <w:lang w:val="uk-UA"/>
        </w:rPr>
      </w:r>
    </w:p>
    <w:p>
      <w:pPr>
        <w:pStyle w:val="Normal"/>
        <w:spacing w:before="120" w:after="120"/>
        <w:jc w:val="center"/>
        <w:rPr>
          <w:lang w:val="uk-UA"/>
        </w:rPr>
      </w:pPr>
      <w:r>
        <w:rPr>
          <w:lang w:val="uk-UA"/>
        </w:rPr>
      </w:r>
    </w:p>
    <w:p>
      <w:pPr>
        <w:pStyle w:val="Normal"/>
        <w:spacing w:before="120" w:after="120"/>
        <w:jc w:val="center"/>
        <w:rPr>
          <w:b/>
          <w:b/>
          <w:lang w:val="uk-UA"/>
        </w:rPr>
      </w:pPr>
      <w:r>
        <w:rPr>
          <w:b/>
          <w:lang w:val="uk-UA"/>
        </w:rPr>
      </w:r>
    </w:p>
    <w:p>
      <w:pPr>
        <w:pStyle w:val="Normal"/>
        <w:spacing w:before="120" w:after="120"/>
        <w:jc w:val="center"/>
        <w:rPr>
          <w:b/>
          <w:b/>
          <w:lang w:val="uk-UA"/>
        </w:rPr>
      </w:pPr>
      <w:r>
        <w:rPr/>
        <w:drawing>
          <wp:inline distT="0" distB="0" distL="0" distR="0">
            <wp:extent cx="5071110" cy="2903220"/>
            <wp:effectExtent l="0" t="0" r="0" b="0"/>
            <wp:docPr id="1" name="Рисунок 7" descr="Верховна Рада України прийняла Закон про житлово-комунальні послуги – Nor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descr="Верховна Рада України прийняла Закон про житлово-комунальні послуги – Norton"/>
                    <pic:cNvPicPr>
                      <a:picLocks noChangeAspect="1" noChangeArrowheads="1"/>
                    </pic:cNvPicPr>
                  </pic:nvPicPr>
                  <pic:blipFill>
                    <a:blip r:embed="rId2"/>
                    <a:stretch>
                      <a:fillRect/>
                    </a:stretch>
                  </pic:blipFill>
                  <pic:spPr bwMode="auto">
                    <a:xfrm>
                      <a:off x="0" y="0"/>
                      <a:ext cx="5071110" cy="2903220"/>
                    </a:xfrm>
                    <a:prstGeom prst="rect">
                      <a:avLst/>
                    </a:prstGeom>
                  </pic:spPr>
                </pic:pic>
              </a:graphicData>
            </a:graphic>
          </wp:inline>
        </w:drawing>
      </w:r>
    </w:p>
    <w:p>
      <w:pPr>
        <w:pStyle w:val="Normal"/>
        <w:spacing w:before="0" w:after="0"/>
        <w:jc w:val="center"/>
        <w:rPr>
          <w:b/>
          <w:b/>
          <w:sz w:val="48"/>
          <w:szCs w:val="48"/>
          <w:lang w:val="uk-UA"/>
        </w:rPr>
      </w:pPr>
      <w:r>
        <w:rPr>
          <w:b/>
          <w:sz w:val="48"/>
          <w:szCs w:val="48"/>
          <w:lang w:val="uk-UA"/>
        </w:rPr>
      </w:r>
    </w:p>
    <w:p>
      <w:pPr>
        <w:pStyle w:val="Normal"/>
        <w:spacing w:before="0" w:after="0"/>
        <w:jc w:val="center"/>
        <w:rPr>
          <w:b/>
          <w:b/>
          <w:sz w:val="48"/>
          <w:szCs w:val="48"/>
          <w:lang w:val="uk-UA"/>
        </w:rPr>
      </w:pPr>
      <w:r>
        <w:rPr>
          <w:b/>
          <w:sz w:val="48"/>
          <w:szCs w:val="48"/>
          <w:lang w:val="uk-UA"/>
        </w:rPr>
      </w:r>
    </w:p>
    <w:p>
      <w:pPr>
        <w:pStyle w:val="Normal"/>
        <w:spacing w:before="0" w:after="0"/>
        <w:jc w:val="center"/>
        <w:rPr>
          <w:b/>
          <w:b/>
          <w:sz w:val="48"/>
          <w:szCs w:val="48"/>
          <w:lang w:val="uk-UA"/>
        </w:rPr>
      </w:pPr>
      <w:r>
        <w:rPr>
          <w:b/>
          <w:sz w:val="48"/>
          <w:szCs w:val="48"/>
          <w:lang w:val="uk-UA"/>
        </w:rPr>
      </w:r>
    </w:p>
    <w:p>
      <w:pPr>
        <w:pStyle w:val="Normal"/>
        <w:spacing w:before="0" w:after="0"/>
        <w:jc w:val="center"/>
        <w:rPr>
          <w:b/>
          <w:b/>
          <w:sz w:val="48"/>
          <w:szCs w:val="48"/>
          <w:lang w:val="uk-UA"/>
        </w:rPr>
      </w:pPr>
      <w:r>
        <w:rPr>
          <w:b/>
          <w:sz w:val="48"/>
          <w:szCs w:val="48"/>
          <w:lang w:val="uk-UA"/>
        </w:rPr>
      </w:r>
    </w:p>
    <w:p>
      <w:pPr>
        <w:pStyle w:val="Style19"/>
        <w:spacing w:lineRule="auto" w:line="276" w:before="0" w:after="0"/>
        <w:jc w:val="center"/>
        <w:rPr>
          <w:b/>
          <w:b/>
          <w:smallCaps/>
          <w:sz w:val="48"/>
          <w:szCs w:val="48"/>
          <w:lang w:val="uk-UA"/>
        </w:rPr>
      </w:pPr>
      <w:r>
        <w:rPr>
          <w:b/>
          <w:smallCaps/>
          <w:sz w:val="48"/>
          <w:szCs w:val="48"/>
          <w:lang w:val="uk-UA"/>
        </w:rPr>
        <w:t>ЗВІТ ПРО УПРАВЛІННЯ</w:t>
      </w:r>
    </w:p>
    <w:p>
      <w:pPr>
        <w:pStyle w:val="Style19"/>
        <w:spacing w:lineRule="auto" w:line="276" w:before="0" w:after="0"/>
        <w:jc w:val="center"/>
        <w:rPr>
          <w:b/>
          <w:b/>
          <w:smallCaps/>
          <w:sz w:val="28"/>
          <w:szCs w:val="28"/>
          <w:lang w:val="uk-UA"/>
        </w:rPr>
      </w:pPr>
      <w:r>
        <w:rPr>
          <w:b/>
          <w:smallCaps/>
          <w:sz w:val="28"/>
          <w:szCs w:val="28"/>
          <w:lang w:val="uk-UA"/>
        </w:rPr>
        <w:t>за результатами 2020 року</w:t>
      </w:r>
    </w:p>
    <w:p>
      <w:pPr>
        <w:pStyle w:val="Normal"/>
        <w:spacing w:before="0" w:after="0"/>
        <w:rPr>
          <w:lang w:val="uk-UA"/>
        </w:rPr>
      </w:pPr>
      <w:r>
        <w:rPr>
          <w:lang w:val="uk-UA"/>
        </w:rPr>
      </w:r>
      <w:r>
        <w:br w:type="page"/>
      </w:r>
    </w:p>
    <w:p>
      <w:pPr>
        <w:pStyle w:val="Normal"/>
        <w:suppressAutoHyphens w:val="true"/>
        <w:spacing w:before="0" w:after="0"/>
        <w:ind w:right="302" w:hanging="0"/>
        <w:jc w:val="center"/>
        <w:rPr>
          <w:rFonts w:ascii="Times New Roman" w:hAnsi="Times New Roman" w:eastAsia="Times New Roman" w:cs="Times New Roman"/>
          <w:b/>
          <w:b/>
          <w:sz w:val="32"/>
          <w:szCs w:val="32"/>
          <w:lang w:val="uk-UA" w:eastAsia="ar-SA"/>
        </w:rPr>
      </w:pPr>
      <w:r>
        <w:rPr>
          <w:rFonts w:eastAsia="Times New Roman" w:cs="Times New Roman" w:ascii="Times New Roman" w:hAnsi="Times New Roman"/>
          <w:b/>
          <w:sz w:val="32"/>
          <w:szCs w:val="32"/>
          <w:lang w:val="uk-UA" w:eastAsia="ar-SA"/>
        </w:rPr>
        <w:t>Організаційна структура та опис діяльності компанії</w:t>
      </w:r>
    </w:p>
    <w:p>
      <w:pPr>
        <w:pStyle w:val="Normal"/>
        <w:suppressAutoHyphens w:val="true"/>
        <w:spacing w:before="0" w:after="0"/>
        <w:ind w:right="302" w:firstLine="708"/>
        <w:jc w:val="both"/>
        <w:rPr>
          <w:rFonts w:ascii="Times New Roman" w:hAnsi="Times New Roman" w:eastAsia="Times New Roman" w:cs="Times New Roman"/>
          <w:sz w:val="24"/>
          <w:szCs w:val="24"/>
          <w:lang w:val="uk-UA" w:eastAsia="ar-SA"/>
        </w:rPr>
      </w:pPr>
      <w:r>
        <w:rPr>
          <w:rFonts w:eastAsia="Times New Roman" w:cs="Times New Roman" w:ascii="Times New Roman" w:hAnsi="Times New Roman"/>
          <w:sz w:val="24"/>
          <w:szCs w:val="24"/>
          <w:lang w:val="uk-UA" w:eastAsia="ar-SA"/>
        </w:rPr>
        <w:t>Комунальне підприємство «Тернівське житлово-комунальне підприємство» створене 15 вересня 2003 року згідно рішення сесії Тернівської міської ради від 22.08.2003 року № 180-ХІІ/XXIV. Підприємство засноване на комунальній власності територіальної громади міста Тернівка і знаходиться в управлінні Тернівської міської ради.</w:t>
      </w:r>
    </w:p>
    <w:p>
      <w:pPr>
        <w:pStyle w:val="Normal"/>
        <w:suppressAutoHyphens w:val="true"/>
        <w:spacing w:before="0" w:after="0"/>
        <w:ind w:right="302" w:firstLine="708"/>
        <w:jc w:val="both"/>
        <w:rPr>
          <w:rFonts w:ascii="Times New Roman" w:hAnsi="Times New Roman" w:eastAsia="Times New Roman" w:cs="Times New Roman"/>
          <w:sz w:val="24"/>
          <w:szCs w:val="24"/>
          <w:lang w:val="uk-UA" w:eastAsia="ar-SA"/>
        </w:rPr>
      </w:pPr>
      <w:r>
        <w:rPr>
          <w:rFonts w:eastAsia="Times New Roman" w:cs="Times New Roman" w:ascii="Times New Roman" w:hAnsi="Times New Roman"/>
          <w:sz w:val="24"/>
          <w:szCs w:val="24"/>
          <w:lang w:val="uk-UA" w:eastAsia="ar-SA"/>
        </w:rPr>
        <w:t>Підприємство надає житлові, комунальні та інші послуги населенню, підприємствам та установам міста, є управителем багатоквартирних будинків, також, утримує та обслуговує об'єкти благоустрою міста.</w:t>
      </w:r>
    </w:p>
    <w:p>
      <w:pPr>
        <w:pStyle w:val="Normal"/>
        <w:suppressAutoHyphens w:val="true"/>
        <w:spacing w:before="0" w:after="0"/>
        <w:ind w:right="302" w:firstLine="708"/>
        <w:jc w:val="both"/>
        <w:rPr>
          <w:rFonts w:ascii="Times New Roman" w:hAnsi="Times New Roman" w:eastAsia="Times New Roman" w:cs="Times New Roman"/>
          <w:sz w:val="24"/>
          <w:szCs w:val="24"/>
          <w:lang w:val="uk-UA" w:eastAsia="ar-SA"/>
        </w:rPr>
      </w:pPr>
      <w:r>
        <w:rPr>
          <w:rFonts w:eastAsia="Times New Roman" w:cs="Times New Roman" w:ascii="Times New Roman" w:hAnsi="Times New Roman"/>
          <w:sz w:val="24"/>
          <w:szCs w:val="24"/>
          <w:lang w:val="uk-UA" w:eastAsia="ar-SA"/>
        </w:rPr>
        <w:t>ТЖКП створено з метою здійснення виробничо-господарської діяльності, забезпечення належного утримання та збереження житлового фонду, інженерних мереж, об’єктів комунального та соціально-культурного призначення, іншої діяльності, а також отримання прибутку.</w:t>
      </w:r>
    </w:p>
    <w:p>
      <w:pPr>
        <w:pStyle w:val="Normal"/>
        <w:suppressAutoHyphens w:val="true"/>
        <w:spacing w:before="0" w:after="0"/>
        <w:ind w:right="302" w:firstLine="708"/>
        <w:jc w:val="both"/>
        <w:rPr>
          <w:rFonts w:ascii="Times New Roman" w:hAnsi="Times New Roman" w:eastAsia="Times New Roman" w:cs="Times New Roman"/>
          <w:sz w:val="24"/>
          <w:szCs w:val="24"/>
          <w:lang w:val="uk-UA" w:eastAsia="ar-SA"/>
        </w:rPr>
      </w:pPr>
      <w:r>
        <w:rPr>
          <w:rFonts w:eastAsia="Times New Roman" w:cs="Times New Roman" w:ascii="Times New Roman" w:hAnsi="Times New Roman"/>
          <w:sz w:val="24"/>
          <w:szCs w:val="24"/>
          <w:lang w:val="uk-UA" w:eastAsia="ar-SA"/>
        </w:rPr>
        <w:t>Місцезнаходження: 51500, вул. Маяковського, 29, Дніпропетровська обл., Україна.</w:t>
      </w:r>
    </w:p>
    <w:p>
      <w:pPr>
        <w:pStyle w:val="Normal"/>
        <w:suppressAutoHyphens w:val="true"/>
        <w:spacing w:before="0" w:after="0"/>
        <w:ind w:right="302" w:firstLine="708"/>
        <w:jc w:val="both"/>
        <w:rPr>
          <w:rFonts w:ascii="Times New Roman" w:hAnsi="Times New Roman" w:eastAsia="Times New Roman" w:cs="Times New Roman"/>
          <w:sz w:val="24"/>
          <w:szCs w:val="24"/>
          <w:lang w:val="uk-UA" w:eastAsia="ar-SA"/>
        </w:rPr>
      </w:pPr>
      <w:r>
        <w:rPr>
          <w:rFonts w:eastAsia="Times New Roman" w:cs="Times New Roman" w:ascii="Times New Roman" w:hAnsi="Times New Roman"/>
          <w:sz w:val="24"/>
          <w:szCs w:val="24"/>
          <w:lang w:val="uk-UA" w:eastAsia="ar-SA"/>
        </w:rPr>
        <w:t>Підприємство обслуговує:</w:t>
      </w:r>
    </w:p>
    <w:p>
      <w:pPr>
        <w:pStyle w:val="ListParagraph"/>
        <w:numPr>
          <w:ilvl w:val="0"/>
          <w:numId w:val="1"/>
        </w:numPr>
        <w:spacing w:lineRule="auto" w:line="276" w:before="120" w:after="0"/>
        <w:ind w:left="0" w:hanging="0"/>
        <w:contextualSpacing/>
        <w:jc w:val="both"/>
        <w:rPr>
          <w:sz w:val="24"/>
          <w:szCs w:val="24"/>
          <w:lang w:val="uk-UA"/>
        </w:rPr>
      </w:pPr>
      <w:r>
        <w:rPr>
          <w:sz w:val="24"/>
          <w:szCs w:val="24"/>
          <w:lang w:val="uk-UA"/>
        </w:rPr>
        <w:t>котельню і 43,7 км теплових мереж;</w:t>
      </w:r>
    </w:p>
    <w:p>
      <w:pPr>
        <w:pStyle w:val="ListParagraph"/>
        <w:numPr>
          <w:ilvl w:val="0"/>
          <w:numId w:val="1"/>
        </w:numPr>
        <w:spacing w:lineRule="auto" w:line="276" w:before="120" w:after="0"/>
        <w:ind w:left="0" w:hanging="0"/>
        <w:contextualSpacing/>
        <w:jc w:val="both"/>
        <w:rPr>
          <w:sz w:val="24"/>
          <w:szCs w:val="24"/>
          <w:lang w:val="uk-UA"/>
        </w:rPr>
      </w:pPr>
      <w:r>
        <w:rPr>
          <w:sz w:val="24"/>
          <w:szCs w:val="24"/>
          <w:lang w:val="uk-UA"/>
        </w:rPr>
        <w:t>ЦРП і 59,97 км водопровідних мереж;</w:t>
      </w:r>
    </w:p>
    <w:p>
      <w:pPr>
        <w:pStyle w:val="ListParagraph"/>
        <w:numPr>
          <w:ilvl w:val="0"/>
          <w:numId w:val="1"/>
        </w:numPr>
        <w:spacing w:lineRule="auto" w:line="276" w:before="120" w:after="0"/>
        <w:ind w:left="0" w:hanging="0"/>
        <w:contextualSpacing/>
        <w:jc w:val="both"/>
        <w:rPr>
          <w:sz w:val="24"/>
          <w:szCs w:val="24"/>
          <w:lang w:val="uk-UA"/>
        </w:rPr>
      </w:pPr>
      <w:r>
        <w:rPr>
          <w:sz w:val="24"/>
          <w:szCs w:val="24"/>
          <w:lang w:val="uk-UA"/>
        </w:rPr>
        <w:t>ТОС, КН станції і 69,2 км каналізаційних мереж, у т.ч. 41,2 км напірний каналізаційний колектор;</w:t>
      </w:r>
    </w:p>
    <w:p>
      <w:pPr>
        <w:pStyle w:val="ListParagraph"/>
        <w:numPr>
          <w:ilvl w:val="0"/>
          <w:numId w:val="1"/>
        </w:numPr>
        <w:spacing w:lineRule="auto" w:line="276" w:before="120" w:after="0"/>
        <w:ind w:left="0" w:hanging="0"/>
        <w:contextualSpacing/>
        <w:jc w:val="both"/>
        <w:rPr>
          <w:sz w:val="24"/>
          <w:szCs w:val="24"/>
          <w:lang w:val="uk-UA"/>
        </w:rPr>
      </w:pPr>
      <w:r>
        <w:rPr>
          <w:sz w:val="24"/>
          <w:szCs w:val="24"/>
          <w:lang w:val="uk-UA"/>
        </w:rPr>
        <w:t>201 будинків, з них 188 в управлінні; загальна площа 482,6 тис.м2, з якої 466,2 тис.м2 в управлінні та 480 тис.м2 опалювальної; кількість квартир 9 984;</w:t>
      </w:r>
    </w:p>
    <w:p>
      <w:pPr>
        <w:pStyle w:val="ListParagraph"/>
        <w:numPr>
          <w:ilvl w:val="0"/>
          <w:numId w:val="1"/>
        </w:numPr>
        <w:spacing w:lineRule="auto" w:line="276" w:before="120" w:after="0"/>
        <w:ind w:left="0" w:hanging="0"/>
        <w:contextualSpacing/>
        <w:jc w:val="both"/>
        <w:rPr>
          <w:sz w:val="24"/>
          <w:szCs w:val="24"/>
          <w:lang w:val="uk-UA"/>
        </w:rPr>
      </w:pPr>
      <w:r>
        <w:rPr>
          <w:sz w:val="24"/>
          <w:szCs w:val="24"/>
          <w:lang w:val="uk-UA"/>
        </w:rPr>
        <w:t>109 доріг, протяжністю 78,254 км;</w:t>
      </w:r>
    </w:p>
    <w:p>
      <w:pPr>
        <w:pStyle w:val="ListParagraph"/>
        <w:numPr>
          <w:ilvl w:val="0"/>
          <w:numId w:val="1"/>
        </w:numPr>
        <w:spacing w:lineRule="auto" w:line="276" w:before="120" w:after="0"/>
        <w:ind w:left="0" w:hanging="0"/>
        <w:contextualSpacing/>
        <w:jc w:val="both"/>
        <w:rPr>
          <w:sz w:val="24"/>
          <w:szCs w:val="24"/>
          <w:lang w:val="uk-UA"/>
        </w:rPr>
      </w:pPr>
      <w:r>
        <w:rPr>
          <w:sz w:val="24"/>
          <w:szCs w:val="24"/>
          <w:lang w:val="uk-UA"/>
        </w:rPr>
        <w:t>68,9 км ліній електропостачання;</w:t>
      </w:r>
    </w:p>
    <w:p>
      <w:pPr>
        <w:pStyle w:val="ListParagraph"/>
        <w:numPr>
          <w:ilvl w:val="0"/>
          <w:numId w:val="1"/>
        </w:numPr>
        <w:spacing w:lineRule="auto" w:line="276" w:before="120" w:after="0"/>
        <w:ind w:left="0" w:hanging="0"/>
        <w:contextualSpacing/>
        <w:jc w:val="both"/>
        <w:rPr>
          <w:sz w:val="24"/>
          <w:szCs w:val="24"/>
          <w:lang w:val="uk-UA"/>
        </w:rPr>
      </w:pPr>
      <w:r>
        <w:rPr>
          <w:sz w:val="24"/>
          <w:szCs w:val="24"/>
          <w:lang w:val="uk-UA"/>
        </w:rPr>
        <w:t>парк культури і відпочинку, площею 48,7 тис.м2;</w:t>
      </w:r>
    </w:p>
    <w:p>
      <w:pPr>
        <w:pStyle w:val="ListParagraph"/>
        <w:numPr>
          <w:ilvl w:val="0"/>
          <w:numId w:val="1"/>
        </w:numPr>
        <w:spacing w:lineRule="auto" w:line="276" w:before="120" w:after="0"/>
        <w:ind w:left="0" w:hanging="0"/>
        <w:contextualSpacing/>
        <w:jc w:val="both"/>
        <w:rPr>
          <w:sz w:val="24"/>
          <w:szCs w:val="24"/>
          <w:lang w:val="uk-UA"/>
        </w:rPr>
      </w:pPr>
      <w:r>
        <w:rPr>
          <w:sz w:val="24"/>
          <w:szCs w:val="24"/>
          <w:lang w:val="uk-UA"/>
        </w:rPr>
        <w:t>міські кладовище, ритуальну службу, міську лазню, спортивно-оздоровчий комплекс,  та інші об'єкти міської інфраструктури.</w:t>
      </w:r>
    </w:p>
    <w:p>
      <w:pPr>
        <w:pStyle w:val="Normal"/>
        <w:tabs>
          <w:tab w:val="clear" w:pos="708"/>
          <w:tab w:val="left" w:pos="1134" w:leader="none"/>
        </w:tabs>
        <w:suppressAutoHyphens w:val="true"/>
        <w:spacing w:before="0" w:after="0"/>
        <w:ind w:right="302" w:firstLine="708"/>
        <w:jc w:val="both"/>
        <w:rPr>
          <w:rFonts w:ascii="Times New Roman" w:hAnsi="Times New Roman" w:eastAsia="Times New Roman" w:cs="Times New Roman"/>
          <w:sz w:val="24"/>
          <w:szCs w:val="24"/>
          <w:lang w:val="uk-UA" w:eastAsia="ar-SA"/>
        </w:rPr>
      </w:pPr>
      <w:r>
        <w:rPr>
          <w:rFonts w:eastAsia="Times New Roman" w:cs="Times New Roman" w:ascii="Times New Roman" w:hAnsi="Times New Roman"/>
          <w:sz w:val="24"/>
          <w:szCs w:val="24"/>
          <w:lang w:val="uk-UA" w:eastAsia="ar-SA"/>
        </w:rPr>
        <w:t>Для обслуговування цього господарства і надання послуг на підприємстві працює 18 ділянок:</w:t>
      </w:r>
    </w:p>
    <w:p>
      <w:pPr>
        <w:pStyle w:val="ListParagraph"/>
        <w:numPr>
          <w:ilvl w:val="0"/>
          <w:numId w:val="1"/>
        </w:numPr>
        <w:spacing w:lineRule="auto" w:line="276" w:before="120" w:after="0"/>
        <w:ind w:left="0" w:hanging="0"/>
        <w:contextualSpacing/>
        <w:jc w:val="both"/>
        <w:rPr>
          <w:sz w:val="24"/>
          <w:szCs w:val="24"/>
          <w:lang w:val="uk-UA"/>
        </w:rPr>
      </w:pPr>
      <w:r>
        <w:rPr>
          <w:sz w:val="24"/>
          <w:szCs w:val="24"/>
          <w:lang w:val="uk-UA"/>
        </w:rPr>
        <w:t>адміністративно-управлінський апарат;</w:t>
      </w:r>
    </w:p>
    <w:p>
      <w:pPr>
        <w:pStyle w:val="ListParagraph"/>
        <w:numPr>
          <w:ilvl w:val="0"/>
          <w:numId w:val="1"/>
        </w:numPr>
        <w:spacing w:lineRule="auto" w:line="276" w:before="120" w:after="0"/>
        <w:ind w:left="0" w:hanging="0"/>
        <w:contextualSpacing/>
        <w:jc w:val="both"/>
        <w:rPr>
          <w:sz w:val="24"/>
          <w:szCs w:val="24"/>
          <w:lang w:val="uk-UA"/>
        </w:rPr>
      </w:pPr>
      <w:r>
        <w:rPr>
          <w:sz w:val="24"/>
          <w:szCs w:val="24"/>
          <w:lang w:val="uk-UA"/>
        </w:rPr>
        <w:t>абонентський відділ;</w:t>
      </w:r>
    </w:p>
    <w:p>
      <w:pPr>
        <w:pStyle w:val="ListParagraph"/>
        <w:numPr>
          <w:ilvl w:val="0"/>
          <w:numId w:val="1"/>
        </w:numPr>
        <w:spacing w:lineRule="auto" w:line="276" w:before="120" w:after="0"/>
        <w:ind w:left="0" w:hanging="0"/>
        <w:contextualSpacing/>
        <w:jc w:val="both"/>
        <w:rPr>
          <w:sz w:val="24"/>
          <w:szCs w:val="24"/>
          <w:lang w:val="uk-UA"/>
        </w:rPr>
      </w:pPr>
      <w:r>
        <w:rPr>
          <w:sz w:val="24"/>
          <w:szCs w:val="24"/>
          <w:lang w:val="uk-UA"/>
        </w:rPr>
        <w:t>ЖРЕК;</w:t>
      </w:r>
    </w:p>
    <w:p>
      <w:pPr>
        <w:pStyle w:val="ListParagraph"/>
        <w:numPr>
          <w:ilvl w:val="0"/>
          <w:numId w:val="1"/>
        </w:numPr>
        <w:spacing w:lineRule="auto" w:line="276" w:before="120" w:after="0"/>
        <w:ind w:left="0" w:hanging="0"/>
        <w:contextualSpacing/>
        <w:jc w:val="both"/>
        <w:rPr>
          <w:sz w:val="24"/>
          <w:szCs w:val="24"/>
          <w:lang w:val="uk-UA"/>
        </w:rPr>
      </w:pPr>
      <w:r>
        <w:rPr>
          <w:sz w:val="24"/>
          <w:szCs w:val="24"/>
          <w:lang w:val="uk-UA"/>
        </w:rPr>
        <w:t>ремонтно-будівельна дільниця;</w:t>
      </w:r>
    </w:p>
    <w:p>
      <w:pPr>
        <w:pStyle w:val="ListParagraph"/>
        <w:numPr>
          <w:ilvl w:val="0"/>
          <w:numId w:val="1"/>
        </w:numPr>
        <w:spacing w:lineRule="auto" w:line="276" w:before="120" w:after="0"/>
        <w:ind w:left="0" w:hanging="0"/>
        <w:contextualSpacing/>
        <w:jc w:val="both"/>
        <w:rPr>
          <w:sz w:val="24"/>
          <w:szCs w:val="24"/>
          <w:lang w:val="uk-UA"/>
        </w:rPr>
      </w:pPr>
      <w:r>
        <w:rPr>
          <w:sz w:val="24"/>
          <w:szCs w:val="24"/>
          <w:lang w:val="uk-UA"/>
        </w:rPr>
        <w:t>дільниця «Водопровід, каналізація»;</w:t>
      </w:r>
    </w:p>
    <w:p>
      <w:pPr>
        <w:pStyle w:val="ListParagraph"/>
        <w:numPr>
          <w:ilvl w:val="0"/>
          <w:numId w:val="1"/>
        </w:numPr>
        <w:spacing w:lineRule="auto" w:line="276" w:before="120" w:after="0"/>
        <w:ind w:left="0" w:hanging="0"/>
        <w:contextualSpacing/>
        <w:jc w:val="both"/>
        <w:rPr>
          <w:sz w:val="24"/>
          <w:szCs w:val="24"/>
          <w:lang w:val="uk-UA"/>
        </w:rPr>
      </w:pPr>
      <w:r>
        <w:rPr>
          <w:sz w:val="24"/>
          <w:szCs w:val="24"/>
          <w:lang w:val="uk-UA"/>
        </w:rPr>
        <w:t>дільниця з ремонту та технічному обслуговуванню енергетичного обладнання;</w:t>
      </w:r>
    </w:p>
    <w:p>
      <w:pPr>
        <w:pStyle w:val="ListParagraph"/>
        <w:numPr>
          <w:ilvl w:val="0"/>
          <w:numId w:val="1"/>
        </w:numPr>
        <w:spacing w:lineRule="auto" w:line="276" w:before="120" w:after="0"/>
        <w:ind w:left="0" w:hanging="0"/>
        <w:contextualSpacing/>
        <w:jc w:val="both"/>
        <w:rPr>
          <w:sz w:val="24"/>
          <w:szCs w:val="24"/>
          <w:lang w:val="uk-UA"/>
        </w:rPr>
      </w:pPr>
      <w:r>
        <w:rPr>
          <w:sz w:val="24"/>
          <w:szCs w:val="24"/>
          <w:lang w:val="uk-UA"/>
        </w:rPr>
        <w:t>дільниця «Зелене господарство»;</w:t>
      </w:r>
    </w:p>
    <w:p>
      <w:pPr>
        <w:pStyle w:val="ListParagraph"/>
        <w:numPr>
          <w:ilvl w:val="0"/>
          <w:numId w:val="1"/>
        </w:numPr>
        <w:spacing w:lineRule="auto" w:line="276" w:before="120" w:after="0"/>
        <w:ind w:left="0" w:hanging="0"/>
        <w:contextualSpacing/>
        <w:jc w:val="both"/>
        <w:rPr>
          <w:sz w:val="24"/>
          <w:szCs w:val="24"/>
          <w:lang w:val="uk-UA"/>
        </w:rPr>
      </w:pPr>
      <w:r>
        <w:rPr>
          <w:sz w:val="24"/>
          <w:szCs w:val="24"/>
          <w:lang w:val="uk-UA"/>
        </w:rPr>
        <w:t>автотранспортний цех;</w:t>
      </w:r>
    </w:p>
    <w:p>
      <w:pPr>
        <w:pStyle w:val="ListParagraph"/>
        <w:numPr>
          <w:ilvl w:val="0"/>
          <w:numId w:val="1"/>
        </w:numPr>
        <w:spacing w:lineRule="auto" w:line="276" w:before="120" w:after="0"/>
        <w:ind w:left="0" w:hanging="0"/>
        <w:contextualSpacing/>
        <w:jc w:val="both"/>
        <w:rPr>
          <w:sz w:val="24"/>
          <w:szCs w:val="24"/>
          <w:lang w:val="uk-UA"/>
        </w:rPr>
      </w:pPr>
      <w:r>
        <w:rPr>
          <w:sz w:val="24"/>
          <w:szCs w:val="24"/>
          <w:lang w:val="uk-UA"/>
        </w:rPr>
        <w:t>дільниця «Тепломережі»;</w:t>
      </w:r>
    </w:p>
    <w:p>
      <w:pPr>
        <w:pStyle w:val="ListParagraph"/>
        <w:numPr>
          <w:ilvl w:val="0"/>
          <w:numId w:val="1"/>
        </w:numPr>
        <w:spacing w:lineRule="auto" w:line="276" w:before="120" w:after="0"/>
        <w:ind w:left="0" w:hanging="0"/>
        <w:contextualSpacing/>
        <w:jc w:val="both"/>
        <w:rPr>
          <w:sz w:val="24"/>
          <w:szCs w:val="24"/>
          <w:lang w:val="uk-UA"/>
        </w:rPr>
      </w:pPr>
      <w:r>
        <w:rPr>
          <w:sz w:val="24"/>
          <w:szCs w:val="24"/>
          <w:lang w:val="uk-UA"/>
        </w:rPr>
        <w:t>Спортивно-оздоровчий комплекс;</w:t>
      </w:r>
    </w:p>
    <w:p>
      <w:pPr>
        <w:pStyle w:val="ListParagraph"/>
        <w:numPr>
          <w:ilvl w:val="0"/>
          <w:numId w:val="1"/>
        </w:numPr>
        <w:spacing w:lineRule="auto" w:line="276" w:before="120" w:after="0"/>
        <w:ind w:left="0" w:hanging="0"/>
        <w:contextualSpacing/>
        <w:jc w:val="both"/>
        <w:rPr>
          <w:sz w:val="24"/>
          <w:szCs w:val="24"/>
          <w:lang w:val="uk-UA"/>
        </w:rPr>
      </w:pPr>
      <w:r>
        <w:rPr>
          <w:sz w:val="24"/>
          <w:szCs w:val="24"/>
          <w:lang w:val="uk-UA"/>
        </w:rPr>
        <w:t>Парк культури та відпочинку;</w:t>
      </w:r>
    </w:p>
    <w:p>
      <w:pPr>
        <w:pStyle w:val="ListParagraph"/>
        <w:numPr>
          <w:ilvl w:val="0"/>
          <w:numId w:val="1"/>
        </w:numPr>
        <w:spacing w:lineRule="auto" w:line="276" w:before="120" w:after="0"/>
        <w:ind w:left="0" w:hanging="0"/>
        <w:contextualSpacing/>
        <w:jc w:val="both"/>
        <w:rPr>
          <w:sz w:val="24"/>
          <w:szCs w:val="24"/>
          <w:lang w:val="uk-UA"/>
        </w:rPr>
      </w:pPr>
      <w:r>
        <w:rPr>
          <w:sz w:val="24"/>
          <w:szCs w:val="24"/>
          <w:lang w:val="uk-UA"/>
        </w:rPr>
        <w:t>котельня;</w:t>
      </w:r>
    </w:p>
    <w:p>
      <w:pPr>
        <w:pStyle w:val="ListParagraph"/>
        <w:numPr>
          <w:ilvl w:val="0"/>
          <w:numId w:val="1"/>
        </w:numPr>
        <w:spacing w:lineRule="auto" w:line="276" w:before="120" w:after="0"/>
        <w:ind w:left="0" w:hanging="0"/>
        <w:contextualSpacing/>
        <w:jc w:val="both"/>
        <w:rPr>
          <w:sz w:val="24"/>
          <w:szCs w:val="24"/>
          <w:lang w:val="uk-UA"/>
        </w:rPr>
      </w:pPr>
      <w:r>
        <w:rPr>
          <w:sz w:val="24"/>
          <w:szCs w:val="24"/>
          <w:lang w:val="uk-UA"/>
        </w:rPr>
        <w:t>дільниця по утриманню міського цвинтаря та наданню ритуальних послуг;</w:t>
      </w:r>
    </w:p>
    <w:p>
      <w:pPr>
        <w:pStyle w:val="ListParagraph"/>
        <w:numPr>
          <w:ilvl w:val="0"/>
          <w:numId w:val="1"/>
        </w:numPr>
        <w:spacing w:lineRule="auto" w:line="276" w:before="120" w:after="0"/>
        <w:ind w:left="0" w:hanging="0"/>
        <w:contextualSpacing/>
        <w:jc w:val="both"/>
        <w:rPr>
          <w:sz w:val="24"/>
          <w:szCs w:val="24"/>
          <w:lang w:val="uk-UA"/>
        </w:rPr>
      </w:pPr>
      <w:r>
        <w:rPr>
          <w:sz w:val="24"/>
          <w:szCs w:val="24"/>
          <w:lang w:val="uk-UA"/>
        </w:rPr>
        <w:t>міська лазня;</w:t>
      </w:r>
    </w:p>
    <w:p>
      <w:pPr>
        <w:pStyle w:val="ListParagraph"/>
        <w:numPr>
          <w:ilvl w:val="0"/>
          <w:numId w:val="1"/>
        </w:numPr>
        <w:spacing w:lineRule="auto" w:line="276" w:before="120" w:after="0"/>
        <w:ind w:left="0" w:hanging="0"/>
        <w:contextualSpacing/>
        <w:jc w:val="both"/>
        <w:rPr>
          <w:sz w:val="24"/>
          <w:szCs w:val="24"/>
          <w:lang w:val="uk-UA"/>
        </w:rPr>
      </w:pPr>
      <w:r>
        <w:rPr>
          <w:sz w:val="24"/>
          <w:szCs w:val="24"/>
          <w:lang w:val="uk-UA"/>
        </w:rPr>
        <w:t>ЦРП (питної води);</w:t>
      </w:r>
    </w:p>
    <w:p>
      <w:pPr>
        <w:pStyle w:val="ListParagraph"/>
        <w:numPr>
          <w:ilvl w:val="0"/>
          <w:numId w:val="1"/>
        </w:numPr>
        <w:spacing w:lineRule="auto" w:line="276" w:before="120" w:after="0"/>
        <w:ind w:left="0" w:hanging="0"/>
        <w:contextualSpacing/>
        <w:jc w:val="both"/>
        <w:rPr>
          <w:sz w:val="24"/>
          <w:szCs w:val="24"/>
          <w:lang w:val="uk-UA"/>
        </w:rPr>
      </w:pPr>
      <w:r>
        <w:rPr>
          <w:sz w:val="24"/>
          <w:szCs w:val="24"/>
          <w:lang w:val="uk-UA"/>
        </w:rPr>
        <w:t>ТОС (очисні споруди);</w:t>
      </w:r>
    </w:p>
    <w:p>
      <w:pPr>
        <w:pStyle w:val="ListParagraph"/>
        <w:numPr>
          <w:ilvl w:val="0"/>
          <w:numId w:val="1"/>
        </w:numPr>
        <w:spacing w:lineRule="auto" w:line="276" w:before="120" w:after="0"/>
        <w:ind w:left="0" w:hanging="0"/>
        <w:contextualSpacing/>
        <w:jc w:val="both"/>
        <w:rPr>
          <w:sz w:val="24"/>
          <w:szCs w:val="24"/>
          <w:lang w:val="uk-UA"/>
        </w:rPr>
      </w:pPr>
      <w:r>
        <w:rPr>
          <w:sz w:val="24"/>
          <w:szCs w:val="24"/>
          <w:lang w:val="uk-UA"/>
        </w:rPr>
        <w:t>дільниця з ремонту та утриманню доріг;</w:t>
      </w:r>
    </w:p>
    <w:p>
      <w:pPr>
        <w:pStyle w:val="ListParagraph"/>
        <w:numPr>
          <w:ilvl w:val="0"/>
          <w:numId w:val="1"/>
        </w:numPr>
        <w:spacing w:lineRule="auto" w:line="276" w:before="120" w:after="0"/>
        <w:ind w:left="0" w:hanging="0"/>
        <w:contextualSpacing/>
        <w:jc w:val="both"/>
        <w:rPr>
          <w:sz w:val="24"/>
          <w:szCs w:val="24"/>
          <w:lang w:val="uk-UA"/>
        </w:rPr>
      </w:pPr>
      <w:r>
        <w:rPr>
          <w:sz w:val="24"/>
          <w:szCs w:val="24"/>
          <w:lang w:val="uk-UA"/>
        </w:rPr>
        <w:t>служба з внутрішнього перевезення пасажирів автобусами.</w:t>
      </w:r>
    </w:p>
    <w:p>
      <w:pPr>
        <w:pStyle w:val="Normal"/>
        <w:suppressAutoHyphens w:val="true"/>
        <w:spacing w:before="0" w:after="0"/>
        <w:ind w:right="302" w:firstLine="708"/>
        <w:jc w:val="both"/>
        <w:rPr>
          <w:rFonts w:ascii="Times New Roman" w:hAnsi="Times New Roman" w:eastAsia="Times New Roman" w:cs="Times New Roman"/>
          <w:sz w:val="24"/>
          <w:szCs w:val="24"/>
          <w:lang w:val="uk-UA" w:eastAsia="ar-SA"/>
        </w:rPr>
      </w:pPr>
      <w:r>
        <w:rPr>
          <w:rFonts w:eastAsia="Times New Roman" w:cs="Times New Roman" w:ascii="Times New Roman" w:hAnsi="Times New Roman"/>
          <w:sz w:val="24"/>
          <w:szCs w:val="24"/>
          <w:lang w:val="uk-UA" w:eastAsia="ar-SA"/>
        </w:rPr>
        <w:t>Підприємство володіє майном територіальної громади м. Тернівка на праві повного господарського ведення відповідно до Статуту, затвердженому рішенням сесії Тернівської міської ради № 931-55/VII від 28.00.2020 року.</w:t>
      </w:r>
    </w:p>
    <w:p>
      <w:pPr>
        <w:pStyle w:val="Normal"/>
        <w:suppressAutoHyphens w:val="true"/>
        <w:spacing w:before="0" w:after="0"/>
        <w:ind w:right="302" w:firstLine="708"/>
        <w:jc w:val="both"/>
        <w:rPr>
          <w:rFonts w:ascii="Times New Roman" w:hAnsi="Times New Roman" w:eastAsia="Times New Roman" w:cs="Times New Roman"/>
          <w:sz w:val="24"/>
          <w:szCs w:val="24"/>
          <w:lang w:val="uk-UA" w:eastAsia="ar-SA"/>
        </w:rPr>
      </w:pPr>
      <w:r>
        <w:rPr>
          <w:rFonts w:eastAsia="Times New Roman" w:cs="Times New Roman" w:ascii="Times New Roman" w:hAnsi="Times New Roman"/>
          <w:sz w:val="24"/>
          <w:szCs w:val="24"/>
          <w:lang w:val="uk-UA" w:eastAsia="ar-SA"/>
        </w:rPr>
        <w:t>Основними видами діяльності підприємства є:</w:t>
      </w:r>
    </w:p>
    <w:p>
      <w:pPr>
        <w:pStyle w:val="ListParagraph"/>
        <w:numPr>
          <w:ilvl w:val="0"/>
          <w:numId w:val="1"/>
        </w:numPr>
        <w:spacing w:lineRule="auto" w:line="276" w:before="120" w:after="0"/>
        <w:ind w:left="0" w:hanging="0"/>
        <w:contextualSpacing/>
        <w:jc w:val="both"/>
        <w:rPr>
          <w:sz w:val="24"/>
          <w:szCs w:val="24"/>
          <w:lang w:val="uk-UA"/>
        </w:rPr>
      </w:pPr>
      <w:r>
        <w:rPr>
          <w:sz w:val="24"/>
          <w:szCs w:val="24"/>
          <w:lang w:val="uk-UA"/>
        </w:rPr>
        <w:t>Код КВЕД 35.30 Постачання пари, гарячої води та кондиційованого повітря (основний);</w:t>
      </w:r>
    </w:p>
    <w:p>
      <w:pPr>
        <w:pStyle w:val="ListParagraph"/>
        <w:numPr>
          <w:ilvl w:val="0"/>
          <w:numId w:val="1"/>
        </w:numPr>
        <w:spacing w:lineRule="auto" w:line="276" w:before="120" w:after="0"/>
        <w:ind w:left="0" w:hanging="0"/>
        <w:contextualSpacing/>
        <w:jc w:val="both"/>
        <w:rPr>
          <w:sz w:val="24"/>
          <w:szCs w:val="24"/>
          <w:lang w:val="uk-UA"/>
        </w:rPr>
      </w:pPr>
      <w:r>
        <w:rPr>
          <w:sz w:val="24"/>
          <w:szCs w:val="24"/>
          <w:lang w:val="uk-UA"/>
        </w:rPr>
        <w:t>Код КВЕД 36.00 Забір, очищення та постачання води;</w:t>
      </w:r>
    </w:p>
    <w:p>
      <w:pPr>
        <w:pStyle w:val="ListParagraph"/>
        <w:numPr>
          <w:ilvl w:val="0"/>
          <w:numId w:val="1"/>
        </w:numPr>
        <w:spacing w:lineRule="auto" w:line="276" w:before="120" w:after="0"/>
        <w:ind w:left="0" w:hanging="0"/>
        <w:contextualSpacing/>
        <w:jc w:val="both"/>
        <w:rPr>
          <w:sz w:val="24"/>
          <w:szCs w:val="24"/>
          <w:lang w:val="uk-UA"/>
        </w:rPr>
      </w:pPr>
      <w:r>
        <w:rPr>
          <w:sz w:val="24"/>
          <w:szCs w:val="24"/>
          <w:lang w:val="uk-UA"/>
        </w:rPr>
        <w:t>Код КВЕД 37.00 Каналізація, відведення й очищення стічних вод;</w:t>
      </w:r>
    </w:p>
    <w:p>
      <w:pPr>
        <w:pStyle w:val="ListParagraph"/>
        <w:numPr>
          <w:ilvl w:val="0"/>
          <w:numId w:val="1"/>
        </w:numPr>
        <w:spacing w:lineRule="auto" w:line="276" w:before="120" w:after="0"/>
        <w:ind w:left="0" w:hanging="0"/>
        <w:contextualSpacing/>
        <w:jc w:val="both"/>
        <w:rPr>
          <w:sz w:val="24"/>
          <w:szCs w:val="24"/>
          <w:lang w:val="uk-UA"/>
        </w:rPr>
      </w:pPr>
      <w:r>
        <w:rPr>
          <w:sz w:val="24"/>
          <w:szCs w:val="24"/>
          <w:lang w:val="uk-UA"/>
        </w:rPr>
        <w:t>Код КВЕД 38.11 Збирання безпечних відходів;</w:t>
      </w:r>
    </w:p>
    <w:p>
      <w:pPr>
        <w:pStyle w:val="ListParagraph"/>
        <w:numPr>
          <w:ilvl w:val="0"/>
          <w:numId w:val="1"/>
        </w:numPr>
        <w:spacing w:lineRule="auto" w:line="276" w:before="120" w:after="0"/>
        <w:ind w:left="0" w:hanging="0"/>
        <w:contextualSpacing/>
        <w:jc w:val="both"/>
        <w:rPr>
          <w:sz w:val="24"/>
          <w:szCs w:val="24"/>
          <w:lang w:val="uk-UA"/>
        </w:rPr>
      </w:pPr>
      <w:r>
        <w:rPr>
          <w:sz w:val="24"/>
          <w:szCs w:val="24"/>
          <w:lang w:val="uk-UA"/>
        </w:rPr>
        <w:t>Код КВЕД 68.20 Надання в оренду й експлуатацію власного чи орендованого нерухомого майна.</w:t>
      </w:r>
    </w:p>
    <w:p>
      <w:pPr>
        <w:pStyle w:val="ListParagraph"/>
        <w:numPr>
          <w:ilvl w:val="0"/>
          <w:numId w:val="1"/>
        </w:numPr>
        <w:spacing w:lineRule="auto" w:line="276" w:before="120" w:after="0"/>
        <w:ind w:left="0" w:hanging="0"/>
        <w:contextualSpacing/>
        <w:jc w:val="both"/>
        <w:rPr>
          <w:sz w:val="24"/>
          <w:szCs w:val="24"/>
          <w:lang w:val="uk-UA"/>
        </w:rPr>
      </w:pPr>
      <w:r>
        <w:rPr>
          <w:sz w:val="24"/>
          <w:szCs w:val="24"/>
          <w:lang w:val="uk-UA"/>
        </w:rPr>
        <w:t>Код КВЕД 68.32 Управління нерухомим майном за винагороду або на основі контракту.</w:t>
      </w:r>
    </w:p>
    <w:p>
      <w:pPr>
        <w:pStyle w:val="NoSpacing"/>
        <w:spacing w:lineRule="auto" w:line="276"/>
        <w:ind w:firstLine="708"/>
        <w:jc w:val="both"/>
        <w:rPr>
          <w:rFonts w:ascii="Times New Roman" w:hAnsi="Times New Roman" w:cs="Times New Roman"/>
          <w:sz w:val="24"/>
          <w:szCs w:val="24"/>
          <w:lang w:val="uk-UA"/>
        </w:rPr>
      </w:pPr>
      <w:r>
        <w:rPr>
          <w:rFonts w:cs="Times New Roman" w:ascii="Times New Roman" w:hAnsi="Times New Roman"/>
          <w:sz w:val="24"/>
          <w:szCs w:val="24"/>
          <w:lang w:val="uk-UA"/>
        </w:rPr>
        <w:t>Чисельність працюючих станом на 01 січня 2021 року становить: за планом – 579 чол., фактична середньооблікова чисельність штатних працівників – 454 чол., облікова чисельність – 488 чол. Середньомісячна заробітна плата штатного працівника – 8 622,07 грн (робітники – 7 666,63 грн, ІТР та службовці – 12 681,29 грн).</w:t>
      </w:r>
    </w:p>
    <w:p>
      <w:pPr>
        <w:pStyle w:val="Normal"/>
        <w:suppressAutoHyphens w:val="true"/>
        <w:spacing w:before="0" w:after="0"/>
        <w:ind w:right="302" w:hanging="0"/>
        <w:jc w:val="center"/>
        <w:rPr>
          <w:rFonts w:ascii="Times New Roman" w:hAnsi="Times New Roman" w:eastAsia="Times New Roman" w:cs="Times New Roman"/>
          <w:b/>
          <w:b/>
          <w:sz w:val="32"/>
          <w:szCs w:val="32"/>
          <w:lang w:val="uk-UA" w:eastAsia="ar-SA"/>
        </w:rPr>
      </w:pPr>
      <w:r>
        <w:rPr>
          <w:rFonts w:eastAsia="Times New Roman" w:cs="Times New Roman" w:ascii="Times New Roman" w:hAnsi="Times New Roman"/>
          <w:b/>
          <w:sz w:val="32"/>
          <w:szCs w:val="32"/>
          <w:lang w:val="uk-UA" w:eastAsia="ar-SA"/>
        </w:rPr>
        <w:t>Результати діяльності</w:t>
      </w:r>
    </w:p>
    <w:p>
      <w:pPr>
        <w:pStyle w:val="NoSpacing"/>
        <w:spacing w:lineRule="auto" w:line="276"/>
        <w:ind w:firstLine="708"/>
        <w:jc w:val="both"/>
        <w:rPr>
          <w:rFonts w:ascii="Times New Roman" w:hAnsi="Times New Roman" w:cs="Times New Roman"/>
          <w:sz w:val="24"/>
          <w:szCs w:val="24"/>
          <w:lang w:val="uk-UA"/>
        </w:rPr>
      </w:pPr>
      <w:r>
        <w:rPr>
          <w:rFonts w:cs="Times New Roman" w:ascii="Times New Roman" w:hAnsi="Times New Roman"/>
          <w:sz w:val="24"/>
          <w:szCs w:val="24"/>
          <w:lang w:val="uk-UA"/>
        </w:rPr>
        <w:t>Комунальне господарство протягом року розвивалось і вдосконалювалось. Були реалізовані намічені заходи щодо збереження, розвитку і вдосконаленню міської інженерної інфраструктури; своєчасно розпочато опалювальний сезон; регулярно проводився ремонт покрівель будинків, встановлена велика кількість одиниць електро обладнання; всі об'єкти життєзабезпечення міста функціонували надійно і безперебійно, що дозволило з урахуванням технічних можливостей надавати всім споживачам тепло, воду, електричну енергію, відводити стічні води.</w:t>
      </w:r>
    </w:p>
    <w:p>
      <w:pPr>
        <w:pStyle w:val="NoSpacing"/>
        <w:spacing w:lineRule="auto" w:line="276"/>
        <w:ind w:firstLine="708"/>
        <w:jc w:val="both"/>
        <w:rPr>
          <w:rFonts w:ascii="Times New Roman" w:hAnsi="Times New Roman" w:eastAsia="Times New Roman" w:cs="Times New Roman"/>
          <w:color w:val="000000"/>
          <w:sz w:val="24"/>
          <w:szCs w:val="24"/>
          <w:lang w:val="uk-UA" w:eastAsia="ru-RU"/>
        </w:rPr>
      </w:pPr>
      <w:r>
        <w:rPr>
          <w:rFonts w:cs="Times New Roman" w:ascii="Times New Roman" w:hAnsi="Times New Roman"/>
          <w:sz w:val="24"/>
          <w:szCs w:val="24"/>
          <w:lang w:val="uk-UA"/>
        </w:rPr>
        <w:t>З метою поліпшення якості питної води проводилося знезараження води гіпохлоритом натрію. Проводилася робота, спрямована на погашення мешканцями міста заборгованостей по оплаті за житлово-комунальні послуги. Увага приділялася</w:t>
      </w:r>
      <w:r>
        <w:rPr>
          <w:rFonts w:eastAsia="Times New Roman" w:cs="Times New Roman" w:ascii="Times New Roman" w:hAnsi="Times New Roman"/>
          <w:color w:val="000000"/>
          <w:sz w:val="24"/>
          <w:szCs w:val="24"/>
          <w:lang w:val="uk-UA" w:eastAsia="ru-RU"/>
        </w:rPr>
        <w:t xml:space="preserve"> формуванню тарифної політики, здатної забезпечити баланс інтересів виробників і споживачів послуг.</w:t>
      </w:r>
    </w:p>
    <w:p>
      <w:pPr>
        <w:pStyle w:val="NoSpacing"/>
        <w:spacing w:lineRule="auto" w:line="276"/>
        <w:ind w:firstLine="708"/>
        <w:jc w:val="both"/>
        <w:rPr>
          <w:rFonts w:ascii="Times New Roman" w:hAnsi="Times New Roman" w:cs="Times New Roman"/>
          <w:sz w:val="24"/>
          <w:szCs w:val="24"/>
          <w:lang w:val="uk-UA"/>
        </w:rPr>
      </w:pPr>
      <w:r>
        <w:rPr>
          <w:rFonts w:cs="Times New Roman" w:ascii="Times New Roman" w:hAnsi="Times New Roman"/>
          <w:sz w:val="24"/>
          <w:szCs w:val="24"/>
          <w:lang w:val="uk-UA"/>
        </w:rPr>
        <w:t>Фінансові показники діяльності КП «ТЖКП» наведені у таблиці (тис.грн):</w:t>
      </w:r>
    </w:p>
    <w:p>
      <w:pPr>
        <w:pStyle w:val="Normal"/>
        <w:spacing w:before="120" w:after="120"/>
        <w:jc w:val="both"/>
        <w:rPr>
          <w:lang w:val="uk-UA"/>
        </w:rPr>
      </w:pPr>
      <w:r>
        <w:rPr/>
        <w:drawing>
          <wp:inline distT="0" distB="0" distL="0" distR="0">
            <wp:extent cx="5939790" cy="1738630"/>
            <wp:effectExtent l="0" t="0" r="0" b="0"/>
            <wp:docPr id="2"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
                    <pic:cNvPicPr>
                      <a:picLocks noChangeAspect="1" noChangeArrowheads="1"/>
                    </pic:cNvPicPr>
                  </pic:nvPicPr>
                  <pic:blipFill>
                    <a:blip r:embed="rId3"/>
                    <a:stretch>
                      <a:fillRect/>
                    </a:stretch>
                  </pic:blipFill>
                  <pic:spPr bwMode="auto">
                    <a:xfrm>
                      <a:off x="0" y="0"/>
                      <a:ext cx="5939790" cy="1738630"/>
                    </a:xfrm>
                    <a:prstGeom prst="rect">
                      <a:avLst/>
                    </a:prstGeom>
                  </pic:spPr>
                </pic:pic>
              </a:graphicData>
            </a:graphic>
          </wp:inline>
        </w:drawing>
      </w:r>
    </w:p>
    <w:p>
      <w:pPr>
        <w:pStyle w:val="Normal"/>
        <w:spacing w:before="120" w:after="120"/>
        <w:jc w:val="center"/>
        <w:rPr>
          <w:lang w:val="uk-UA"/>
        </w:rPr>
      </w:pPr>
      <w:r>
        <w:rPr/>
        <w:drawing>
          <wp:inline distT="0" distB="0" distL="0" distR="0">
            <wp:extent cx="4599940" cy="2771140"/>
            <wp:effectExtent l="0" t="0" r="0" b="0"/>
            <wp:docPr id="3"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1" descr=""/>
                    <pic:cNvPicPr>
                      <a:picLocks noChangeAspect="1" noChangeArrowheads="1"/>
                    </pic:cNvPicPr>
                  </pic:nvPicPr>
                  <pic:blipFill>
                    <a:blip r:embed="rId4"/>
                    <a:stretch>
                      <a:fillRect/>
                    </a:stretch>
                  </pic:blipFill>
                  <pic:spPr bwMode="auto">
                    <a:xfrm>
                      <a:off x="0" y="0"/>
                      <a:ext cx="4599940" cy="2771140"/>
                    </a:xfrm>
                    <a:prstGeom prst="rect">
                      <a:avLst/>
                    </a:prstGeom>
                  </pic:spPr>
                </pic:pic>
              </a:graphicData>
            </a:graphic>
          </wp:inline>
        </w:drawing>
      </w:r>
    </w:p>
    <w:p>
      <w:pPr>
        <w:pStyle w:val="NoSpacing"/>
        <w:spacing w:lineRule="auto" w:line="276"/>
        <w:ind w:firstLine="708"/>
        <w:jc w:val="both"/>
        <w:rPr>
          <w:rFonts w:ascii="Times New Roman" w:hAnsi="Times New Roman" w:cs="Times New Roman"/>
          <w:sz w:val="24"/>
          <w:szCs w:val="24"/>
          <w:lang w:val="uk-UA"/>
        </w:rPr>
      </w:pPr>
      <w:r>
        <w:rPr>
          <w:rFonts w:cs="Times New Roman" w:ascii="Times New Roman" w:hAnsi="Times New Roman"/>
          <w:sz w:val="24"/>
          <w:szCs w:val="24"/>
          <w:lang w:val="uk-UA"/>
        </w:rPr>
        <w:t>За результатами 2020 року Підприємство визнало чистий дохід у розмірі 128 682 тис.грн, що більше показнику чистого доходу 2019 року на 13 577 тис.грн, що складає 12%.</w:t>
      </w:r>
    </w:p>
    <w:p>
      <w:pPr>
        <w:pStyle w:val="Normal"/>
        <w:spacing w:before="120" w:after="120"/>
        <w:jc w:val="center"/>
        <w:rPr>
          <w:lang w:val="uk-UA"/>
        </w:rPr>
      </w:pPr>
      <w:r>
        <w:rPr/>
        <w:drawing>
          <wp:inline distT="0" distB="0" distL="0" distR="0">
            <wp:extent cx="4599940" cy="2771140"/>
            <wp:effectExtent l="0" t="0" r="0" b="0"/>
            <wp:docPr id="4"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2" descr=""/>
                    <pic:cNvPicPr>
                      <a:picLocks noChangeAspect="1" noChangeArrowheads="1"/>
                    </pic:cNvPicPr>
                  </pic:nvPicPr>
                  <pic:blipFill>
                    <a:blip r:embed="rId5"/>
                    <a:stretch>
                      <a:fillRect/>
                    </a:stretch>
                  </pic:blipFill>
                  <pic:spPr bwMode="auto">
                    <a:xfrm>
                      <a:off x="0" y="0"/>
                      <a:ext cx="4599940" cy="2771140"/>
                    </a:xfrm>
                    <a:prstGeom prst="rect">
                      <a:avLst/>
                    </a:prstGeom>
                  </pic:spPr>
                </pic:pic>
              </a:graphicData>
            </a:graphic>
          </wp:inline>
        </w:drawing>
      </w:r>
    </w:p>
    <w:p>
      <w:pPr>
        <w:pStyle w:val="NoSpacing"/>
        <w:spacing w:lineRule="auto" w:line="276"/>
        <w:ind w:firstLine="708"/>
        <w:jc w:val="both"/>
        <w:rPr>
          <w:rFonts w:ascii="Times New Roman" w:hAnsi="Times New Roman" w:cs="Times New Roman"/>
          <w:sz w:val="24"/>
          <w:szCs w:val="24"/>
          <w:lang w:val="uk-UA"/>
        </w:rPr>
      </w:pPr>
      <w:r>
        <w:rPr>
          <w:rFonts w:cs="Times New Roman" w:ascii="Times New Roman" w:hAnsi="Times New Roman"/>
          <w:sz w:val="24"/>
          <w:szCs w:val="24"/>
          <w:lang w:val="uk-UA"/>
        </w:rPr>
        <w:t>У 2019 році собівартість реалізованої продукції зросла на 14%, основним фактором було зростання заробітної плати та відповідних відрахувань (витрати на оплату праці працівників та відповідних внесків в 2020 році склали 54 052 тис.грн., в 2019 році 41 984 тис.грн.). Доля заробітної плати та відповідних відрахувань у загальній собівартості реалізованої продукції у 2020 році складала 42%, доля матеріальних витрат – 32 %.</w:t>
      </w:r>
    </w:p>
    <w:p>
      <w:pPr>
        <w:pStyle w:val="Normal"/>
        <w:spacing w:before="240" w:after="120"/>
        <w:jc w:val="center"/>
        <w:rPr>
          <w:lang w:val="uk-UA"/>
        </w:rPr>
      </w:pPr>
      <w:r>
        <w:rPr/>
        <w:drawing>
          <wp:inline distT="0" distB="0" distL="0" distR="0">
            <wp:extent cx="4599940" cy="2771140"/>
            <wp:effectExtent l="0" t="0" r="0" b="0"/>
            <wp:docPr id="5"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3" descr=""/>
                    <pic:cNvPicPr>
                      <a:picLocks noChangeAspect="1" noChangeArrowheads="1"/>
                    </pic:cNvPicPr>
                  </pic:nvPicPr>
                  <pic:blipFill>
                    <a:blip r:embed="rId6"/>
                    <a:stretch>
                      <a:fillRect/>
                    </a:stretch>
                  </pic:blipFill>
                  <pic:spPr bwMode="auto">
                    <a:xfrm>
                      <a:off x="0" y="0"/>
                      <a:ext cx="4599940" cy="2771140"/>
                    </a:xfrm>
                    <a:prstGeom prst="rect">
                      <a:avLst/>
                    </a:prstGeom>
                  </pic:spPr>
                </pic:pic>
              </a:graphicData>
            </a:graphic>
          </wp:inline>
        </w:drawing>
      </w:r>
    </w:p>
    <w:p>
      <w:pPr>
        <w:pStyle w:val="NoSpacing"/>
        <w:spacing w:lineRule="auto" w:line="276"/>
        <w:ind w:firstLine="708"/>
        <w:jc w:val="both"/>
        <w:rPr>
          <w:rFonts w:ascii="Times New Roman" w:hAnsi="Times New Roman" w:cs="Times New Roman"/>
          <w:sz w:val="24"/>
          <w:szCs w:val="24"/>
          <w:lang w:val="uk-UA"/>
        </w:rPr>
      </w:pPr>
      <w:r>
        <w:rPr>
          <w:rFonts w:cs="Times New Roman" w:ascii="Times New Roman" w:hAnsi="Times New Roman"/>
          <w:sz w:val="24"/>
          <w:szCs w:val="24"/>
          <w:lang w:val="uk-UA"/>
        </w:rPr>
        <w:t>Фінансовий результат (збиток) від операційної діяльності підприємства збільшився на 9 048 тис.грн (майже на 100%), переважно за рахунок збільшення собівартості реалізованих послуг (на 14%), адміністративних витрат (на 40%) та витрат на збут (на 23%).</w:t>
      </w:r>
    </w:p>
    <w:p>
      <w:pPr>
        <w:pStyle w:val="Normal"/>
        <w:spacing w:before="120" w:after="120"/>
        <w:jc w:val="center"/>
        <w:rPr>
          <w:lang w:val="uk-UA"/>
        </w:rPr>
      </w:pPr>
      <w:r>
        <w:rPr/>
        <w:drawing>
          <wp:inline distT="0" distB="0" distL="0" distR="0">
            <wp:extent cx="4600575" cy="2771775"/>
            <wp:effectExtent l="0" t="0" r="0" b="0"/>
            <wp:docPr id="6"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4" descr=""/>
                    <pic:cNvPicPr>
                      <a:picLocks noChangeAspect="1" noChangeArrowheads="1"/>
                    </pic:cNvPicPr>
                  </pic:nvPicPr>
                  <pic:blipFill>
                    <a:blip r:embed="rId7"/>
                    <a:stretch>
                      <a:fillRect/>
                    </a:stretch>
                  </pic:blipFill>
                  <pic:spPr bwMode="auto">
                    <a:xfrm>
                      <a:off x="0" y="0"/>
                      <a:ext cx="4600575" cy="2771775"/>
                    </a:xfrm>
                    <a:prstGeom prst="rect">
                      <a:avLst/>
                    </a:prstGeom>
                  </pic:spPr>
                </pic:pic>
              </a:graphicData>
            </a:graphic>
          </wp:inline>
        </w:drawing>
      </w:r>
    </w:p>
    <w:p>
      <w:pPr>
        <w:pStyle w:val="NoSpacing"/>
        <w:spacing w:lineRule="auto" w:line="276"/>
        <w:ind w:firstLine="708"/>
        <w:jc w:val="both"/>
        <w:rPr>
          <w:rFonts w:ascii="Times New Roman" w:hAnsi="Times New Roman" w:cs="Times New Roman"/>
          <w:sz w:val="24"/>
          <w:szCs w:val="24"/>
          <w:lang w:val="uk-UA"/>
        </w:rPr>
      </w:pPr>
      <w:r>
        <w:rPr>
          <w:rFonts w:cs="Times New Roman" w:ascii="Times New Roman" w:hAnsi="Times New Roman"/>
          <w:sz w:val="24"/>
          <w:szCs w:val="24"/>
          <w:lang w:val="uk-UA"/>
        </w:rPr>
        <w:t>Відповідно до фінансової звітності за 2020 рік за результатами своєї діяльності підприємство мало чистий збиток у розмірі 12 136 тис.грн, що на 640% більше, ніж в 2019 році. Чинники, які вплинули на фінансовий результат в 2020 році: зростання заробітної плати та відповідних нарахувань, збільшення інших витрат. Збільшення собівартості реалізованих послуг та інших операційних витрат - привели до збільшення збитку підприємства.</w:t>
      </w:r>
    </w:p>
    <w:p>
      <w:pPr>
        <w:pStyle w:val="Normal"/>
        <w:suppressAutoHyphens w:val="true"/>
        <w:spacing w:before="0" w:after="0"/>
        <w:ind w:right="302" w:hanging="0"/>
        <w:jc w:val="center"/>
        <w:rPr>
          <w:rFonts w:ascii="Times New Roman" w:hAnsi="Times New Roman" w:eastAsia="Times New Roman" w:cs="Times New Roman"/>
          <w:b/>
          <w:b/>
          <w:sz w:val="32"/>
          <w:szCs w:val="32"/>
          <w:lang w:val="uk-UA" w:eastAsia="ar-SA"/>
        </w:rPr>
      </w:pPr>
      <w:r>
        <w:rPr>
          <w:rFonts w:eastAsia="Times New Roman" w:cs="Times New Roman" w:ascii="Times New Roman" w:hAnsi="Times New Roman"/>
          <w:b/>
          <w:sz w:val="32"/>
          <w:szCs w:val="32"/>
          <w:lang w:val="uk-UA" w:eastAsia="ar-SA"/>
        </w:rPr>
        <w:t>Ліквідність і зобов'язання</w:t>
      </w:r>
    </w:p>
    <w:p>
      <w:pPr>
        <w:pStyle w:val="NoSpacing"/>
        <w:spacing w:lineRule="auto" w:line="276"/>
        <w:ind w:firstLine="708"/>
        <w:jc w:val="both"/>
        <w:rPr>
          <w:rFonts w:ascii="Times New Roman" w:hAnsi="Times New Roman" w:cs="Times New Roman"/>
          <w:sz w:val="24"/>
          <w:szCs w:val="24"/>
          <w:lang w:val="uk-UA" w:eastAsia="ru-RU"/>
        </w:rPr>
      </w:pPr>
      <w:r>
        <w:rPr>
          <w:rFonts w:cs="Times New Roman" w:ascii="Times New Roman" w:hAnsi="Times New Roman"/>
          <w:sz w:val="24"/>
          <w:szCs w:val="24"/>
          <w:lang w:val="uk-UA" w:eastAsia="ru-RU"/>
        </w:rPr>
        <w:t>В основі діяльності будь-якого суб'єкта господарювання покладено завдання отримання найбільшого прибутку. А метою функціонування комунального господарства є ще й зобов’язання в наданні якісних життєво-важливих послуг населенню за встановленими державою нормативами. Безумовно не останнє місце серед цілей фінансової стратегії і тактики є забезпечення соціально-економічного розвитку територій підприємств і прибутковість. Адже з огляду на специфіку ціноутворення підприємства комунального господарства (визначення тарифу витратним методом, який передбачає сумування собівартості і прибутку) саме від рівня отриманого прибутку залежить можливість фінансування витрат і розвитку, а відтак – підвищення якості послуг.</w:t>
      </w:r>
    </w:p>
    <w:p>
      <w:pPr>
        <w:pStyle w:val="NoSpacing"/>
        <w:spacing w:lineRule="auto" w:line="276"/>
        <w:ind w:firstLine="708"/>
        <w:jc w:val="both"/>
        <w:rPr>
          <w:rFonts w:ascii="Times New Roman" w:hAnsi="Times New Roman" w:cs="Times New Roman"/>
          <w:sz w:val="24"/>
          <w:szCs w:val="24"/>
          <w:lang w:val="uk-UA" w:eastAsia="ru-RU"/>
        </w:rPr>
      </w:pPr>
      <w:r>
        <w:rPr>
          <w:rFonts w:cs="Times New Roman" w:ascii="Times New Roman" w:hAnsi="Times New Roman"/>
          <w:sz w:val="24"/>
          <w:szCs w:val="24"/>
          <w:lang w:val="uk-UA" w:eastAsia="ru-RU"/>
        </w:rPr>
        <w:t>Фінансовий стан КП ТЖКП оцінюється на основі форм фінансової звітності (балансу – форми №1, звіту про фінансові результати – форми №2, приміток до річної фінансової звітності – форми №5 ) за допомогою низки коефіцієнтів, об'єднаних у 5 основних груп. Це показники: майнового стану; ліквідності; фінансової стійкості; ділової активності; рентабельності Проводиться аналіз ліквідності комунального підприємства, який дозволяє оцінити його спроможність розраховуватися за своїми зобов'язаннями й передбачає розрахунок таких коефіцієнтів: коефіцієнта покриття, коефіцієнта швидкої ліквідності, коефіцієнта абсолютної ліквідності, чистого оборотного капіталу.</w:t>
      </w:r>
    </w:p>
    <w:p>
      <w:pPr>
        <w:pStyle w:val="Normal"/>
        <w:spacing w:lineRule="auto" w:line="276" w:before="120" w:after="120"/>
        <w:jc w:val="both"/>
        <w:rPr>
          <w:lang w:val="uk-UA"/>
        </w:rPr>
      </w:pPr>
      <w:r>
        <w:rPr>
          <w:rFonts w:cs="Times New Roman" w:ascii="Times New Roman" w:hAnsi="Times New Roman"/>
          <w:sz w:val="24"/>
          <w:szCs w:val="24"/>
          <w:lang w:val="uk-UA" w:eastAsia="ru-RU"/>
        </w:rPr>
        <w:t>Основним індикатором, що характеризує фінансову стійкість підприємства, є платоспроможність, тобто достатність ліквідних активів для погашення у будь-який момент усіх своїх короткострокових зобов'язань перед кредиторами.</w:t>
      </w:r>
    </w:p>
    <w:p>
      <w:pPr>
        <w:pStyle w:val="Normal"/>
        <w:spacing w:lineRule="auto" w:line="276" w:before="120" w:after="120"/>
        <w:jc w:val="both"/>
        <w:rPr>
          <w:lang w:val="uk-UA"/>
        </w:rPr>
      </w:pPr>
      <w:r>
        <w:rPr>
          <w:rFonts w:cs="Times New Roman" w:ascii="Times New Roman" w:hAnsi="Times New Roman"/>
          <w:sz w:val="24"/>
          <w:szCs w:val="24"/>
          <w:lang w:val="uk-UA" w:eastAsia="ru-RU"/>
        </w:rPr>
        <w:t>У таблиці порівнюються активи і пасиви балансу. Аналіз ліквідності балансу за 20</w:t>
      </w:r>
      <w:r>
        <w:rPr>
          <w:rFonts w:cs="Times New Roman" w:ascii="Times New Roman" w:hAnsi="Times New Roman"/>
          <w:sz w:val="24"/>
          <w:szCs w:val="24"/>
          <w:lang w:val="uk-UA" w:eastAsia="ru-RU"/>
        </w:rPr>
        <w:t>20</w:t>
      </w:r>
      <w:r>
        <w:rPr>
          <w:rFonts w:cs="Times New Roman" w:ascii="Times New Roman" w:hAnsi="Times New Roman"/>
          <w:sz w:val="24"/>
          <w:szCs w:val="24"/>
          <w:lang w:val="uk-UA" w:eastAsia="ru-RU"/>
        </w:rPr>
        <w:t xml:space="preserve"> рік, тис. грн.:</w:t>
      </w:r>
    </w:p>
    <w:tbl>
      <w:tblPr>
        <w:tblW w:w="9604" w:type="dxa"/>
        <w:jc w:val="right"/>
        <w:tblInd w:w="0" w:type="dxa"/>
        <w:tblCellMar>
          <w:top w:w="0" w:type="dxa"/>
          <w:left w:w="108" w:type="dxa"/>
          <w:bottom w:w="0" w:type="dxa"/>
          <w:right w:w="108" w:type="dxa"/>
        </w:tblCellMar>
        <w:tblLook w:val="04a0"/>
      </w:tblPr>
      <w:tblGrid>
        <w:gridCol w:w="513"/>
        <w:gridCol w:w="5607"/>
        <w:gridCol w:w="1396"/>
        <w:gridCol w:w="1048"/>
        <w:gridCol w:w="1040"/>
      </w:tblGrid>
      <w:tr>
        <w:trPr>
          <w:trHeight w:val="317" w:hRule="atLeast"/>
        </w:trPr>
        <w:tc>
          <w:tcPr>
            <w:tcW w:w="51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lang w:val="uk-UA"/>
              </w:rPr>
            </w:pPr>
            <w:r>
              <w:rPr>
                <w:rFonts w:ascii="Times New Roman" w:hAnsi="Times New Roman"/>
                <w:lang w:val="uk-UA"/>
              </w:rPr>
              <w:t>№</w:t>
            </w:r>
            <w:r>
              <w:rPr>
                <w:rFonts w:ascii="Times New Roman" w:hAnsi="Times New Roman"/>
                <w:lang w:val="uk-UA"/>
              </w:rPr>
              <w:br/>
              <w:t>п/п</w:t>
            </w:r>
          </w:p>
        </w:tc>
        <w:tc>
          <w:tcPr>
            <w:tcW w:w="560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b/>
                <w:b/>
                <w:lang w:val="uk-UA"/>
              </w:rPr>
            </w:pPr>
            <w:r>
              <w:rPr>
                <w:rFonts w:ascii="Times New Roman" w:hAnsi="Times New Roman"/>
                <w:b/>
                <w:lang w:val="uk-UA"/>
              </w:rPr>
              <w:t>Актив</w:t>
            </w:r>
          </w:p>
        </w:tc>
        <w:tc>
          <w:tcPr>
            <w:tcW w:w="139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lang w:val="uk-UA"/>
              </w:rPr>
            </w:pPr>
            <w:r>
              <w:rPr>
                <w:rFonts w:ascii="Times New Roman" w:hAnsi="Times New Roman"/>
                <w:lang w:val="uk-UA"/>
              </w:rPr>
              <w:t>Умовне</w:t>
              <w:br/>
              <w:t>позначення</w:t>
            </w:r>
          </w:p>
        </w:tc>
        <w:tc>
          <w:tcPr>
            <w:tcW w:w="104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lang w:val="uk-UA"/>
              </w:rPr>
            </w:pPr>
            <w:r>
              <w:rPr>
                <w:rFonts w:ascii="Times New Roman" w:hAnsi="Times New Roman"/>
                <w:lang w:val="uk-UA"/>
              </w:rPr>
              <w:t>На кінець</w:t>
              <w:br/>
              <w:t>року</w:t>
            </w:r>
          </w:p>
        </w:tc>
        <w:tc>
          <w:tcPr>
            <w:tcW w:w="104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lang w:val="uk-UA"/>
              </w:rPr>
            </w:pPr>
            <w:r>
              <w:rPr>
                <w:rFonts w:ascii="Times New Roman" w:hAnsi="Times New Roman"/>
                <w:lang w:val="uk-UA"/>
              </w:rPr>
              <w:t>На початок</w:t>
              <w:br/>
              <w:t>року</w:t>
            </w:r>
          </w:p>
        </w:tc>
      </w:tr>
      <w:tr>
        <w:trPr>
          <w:trHeight w:val="317" w:hRule="atLeast"/>
        </w:trPr>
        <w:tc>
          <w:tcPr>
            <w:tcW w:w="5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both"/>
              <w:rPr>
                <w:color w:val="FF0000"/>
                <w:lang w:val="uk-UA"/>
              </w:rPr>
            </w:pPr>
            <w:r>
              <w:rPr>
                <w:rFonts w:ascii="Times New Roman" w:hAnsi="Times New Roman"/>
                <w:color w:val="FF0000"/>
                <w:lang w:val="uk-UA"/>
              </w:rPr>
            </w:r>
          </w:p>
        </w:tc>
        <w:tc>
          <w:tcPr>
            <w:tcW w:w="560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both"/>
              <w:rPr>
                <w:color w:val="FF0000"/>
                <w:lang w:val="uk-UA"/>
              </w:rPr>
            </w:pPr>
            <w:r>
              <w:rPr>
                <w:rFonts w:ascii="Times New Roman" w:hAnsi="Times New Roman"/>
                <w:color w:val="FF0000"/>
                <w:lang w:val="uk-UA"/>
              </w:rPr>
            </w:r>
          </w:p>
        </w:tc>
        <w:tc>
          <w:tcPr>
            <w:tcW w:w="139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both"/>
              <w:rPr>
                <w:color w:val="FF0000"/>
                <w:lang w:val="uk-UA"/>
              </w:rPr>
            </w:pPr>
            <w:r>
              <w:rPr>
                <w:rFonts w:ascii="Times New Roman" w:hAnsi="Times New Roman"/>
                <w:color w:val="FF0000"/>
                <w:lang w:val="uk-UA"/>
              </w:rPr>
            </w:r>
          </w:p>
        </w:tc>
        <w:tc>
          <w:tcPr>
            <w:tcW w:w="10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both"/>
              <w:rPr>
                <w:color w:val="FF0000"/>
                <w:lang w:val="uk-UA"/>
              </w:rPr>
            </w:pPr>
            <w:r>
              <w:rPr>
                <w:rFonts w:ascii="Times New Roman" w:hAnsi="Times New Roman"/>
                <w:color w:val="FF0000"/>
                <w:lang w:val="uk-UA"/>
              </w:rPr>
            </w:r>
          </w:p>
        </w:tc>
        <w:tc>
          <w:tcPr>
            <w:tcW w:w="10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both"/>
              <w:rPr>
                <w:color w:val="FF0000"/>
                <w:lang w:val="uk-UA"/>
              </w:rPr>
            </w:pPr>
            <w:r>
              <w:rPr>
                <w:rFonts w:ascii="Times New Roman" w:hAnsi="Times New Roman"/>
                <w:color w:val="FF0000"/>
                <w:lang w:val="uk-UA"/>
              </w:rPr>
            </w:r>
          </w:p>
        </w:tc>
      </w:tr>
      <w:tr>
        <w:trPr>
          <w:trHeight w:val="20" w:hRule="atLeast"/>
        </w:trPr>
        <w:tc>
          <w:tcPr>
            <w:tcW w:w="513"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both"/>
              <w:rPr>
                <w:lang w:val="uk-UA"/>
              </w:rPr>
            </w:pPr>
            <w:r>
              <w:rPr>
                <w:rFonts w:ascii="Times New Roman" w:hAnsi="Times New Roman"/>
                <w:lang w:val="uk-UA"/>
              </w:rPr>
            </w:r>
          </w:p>
        </w:tc>
        <w:tc>
          <w:tcPr>
            <w:tcW w:w="9091" w:type="dxa"/>
            <w:gridSpan w:val="4"/>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both"/>
              <w:rPr>
                <w:lang w:val="uk-UA"/>
              </w:rPr>
            </w:pPr>
            <w:r>
              <w:rPr>
                <w:rFonts w:ascii="Times New Roman" w:hAnsi="Times New Roman"/>
                <w:b/>
                <w:lang w:val="uk-UA"/>
              </w:rPr>
              <w:t>Актив</w:t>
            </w:r>
          </w:p>
        </w:tc>
      </w:tr>
      <w:tr>
        <w:trPr>
          <w:trHeight w:val="20" w:hRule="atLeast"/>
        </w:trPr>
        <w:tc>
          <w:tcPr>
            <w:tcW w:w="513" w:type="dxa"/>
            <w:tcBorders>
              <w:left w:val="single" w:sz="4" w:space="0" w:color="000000"/>
              <w:bottom w:val="single" w:sz="4" w:space="0" w:color="000000"/>
              <w:right w:val="single" w:sz="4" w:space="0" w:color="000000"/>
            </w:tcBorders>
            <w:shd w:color="auto" w:fill="auto" w:val="clear"/>
            <w:vAlign w:val="center"/>
          </w:tcPr>
          <w:p>
            <w:pPr>
              <w:pStyle w:val="Normal"/>
              <w:spacing w:before="0" w:after="200"/>
              <w:jc w:val="right"/>
              <w:rPr>
                <w:lang w:val="uk-UA"/>
              </w:rPr>
            </w:pPr>
            <w:r>
              <w:rPr>
                <w:rFonts w:ascii="Times New Roman" w:hAnsi="Times New Roman"/>
                <w:lang w:val="uk-UA"/>
              </w:rPr>
              <w:t>1</w:t>
            </w:r>
          </w:p>
        </w:tc>
        <w:tc>
          <w:tcPr>
            <w:tcW w:w="5607" w:type="dxa"/>
            <w:tcBorders>
              <w:bottom w:val="single" w:sz="4" w:space="0" w:color="000000"/>
              <w:right w:val="single" w:sz="4" w:space="0" w:color="000000"/>
            </w:tcBorders>
            <w:shd w:color="auto" w:fill="auto" w:val="clear"/>
            <w:vAlign w:val="center"/>
          </w:tcPr>
          <w:p>
            <w:pPr>
              <w:pStyle w:val="Normal"/>
              <w:spacing w:before="0" w:after="200"/>
              <w:rPr>
                <w:lang w:val="uk-UA"/>
              </w:rPr>
            </w:pPr>
            <w:r>
              <w:rPr>
                <w:rFonts w:ascii="Times New Roman" w:hAnsi="Times New Roman"/>
                <w:lang w:val="uk-UA"/>
              </w:rPr>
              <w:t>Високоліквідні активи (ряд. 1165+1160)</w:t>
            </w:r>
          </w:p>
        </w:tc>
        <w:tc>
          <w:tcPr>
            <w:tcW w:w="1396" w:type="dxa"/>
            <w:tcBorders>
              <w:bottom w:val="single" w:sz="4" w:space="0" w:color="000000"/>
              <w:right w:val="single" w:sz="4" w:space="0" w:color="000000"/>
            </w:tcBorders>
            <w:shd w:color="auto" w:fill="auto" w:val="clear"/>
            <w:vAlign w:val="center"/>
          </w:tcPr>
          <w:p>
            <w:pPr>
              <w:pStyle w:val="Normal"/>
              <w:spacing w:before="0" w:after="200"/>
              <w:jc w:val="center"/>
              <w:rPr>
                <w:lang w:val="uk-UA"/>
              </w:rPr>
            </w:pPr>
            <w:r>
              <w:rPr>
                <w:rFonts w:ascii="Times New Roman" w:hAnsi="Times New Roman"/>
                <w:lang w:val="uk-UA"/>
              </w:rPr>
              <w:t>А1</w:t>
            </w:r>
          </w:p>
        </w:tc>
        <w:tc>
          <w:tcPr>
            <w:tcW w:w="1048" w:type="dxa"/>
            <w:tcBorders>
              <w:bottom w:val="single" w:sz="4" w:space="0" w:color="000000"/>
              <w:right w:val="single" w:sz="4" w:space="0" w:color="000000"/>
            </w:tcBorders>
            <w:shd w:color="auto" w:fill="auto" w:val="clear"/>
            <w:vAlign w:val="center"/>
          </w:tcPr>
          <w:p>
            <w:pPr>
              <w:pStyle w:val="Normal"/>
              <w:spacing w:before="0" w:after="200"/>
              <w:jc w:val="right"/>
              <w:rPr>
                <w:lang w:val="uk-UA"/>
              </w:rPr>
            </w:pPr>
            <w:r>
              <w:rPr>
                <w:rFonts w:eastAsia="Times New Roman" w:cs="Times New Roman" w:ascii="Times New Roman" w:hAnsi="Times New Roman"/>
                <w:sz w:val="24"/>
                <w:szCs w:val="24"/>
                <w:lang w:val="ru-RU" w:eastAsia="ru-RU"/>
              </w:rPr>
              <w:t>4161</w:t>
            </w:r>
          </w:p>
        </w:tc>
        <w:tc>
          <w:tcPr>
            <w:tcW w:w="1040" w:type="dxa"/>
            <w:tcBorders>
              <w:bottom w:val="single" w:sz="4" w:space="0" w:color="000000"/>
              <w:right w:val="single" w:sz="4" w:space="0" w:color="000000"/>
            </w:tcBorders>
            <w:shd w:color="auto" w:fill="auto" w:val="clear"/>
            <w:vAlign w:val="center"/>
          </w:tcPr>
          <w:p>
            <w:pPr>
              <w:pStyle w:val="Normal"/>
              <w:spacing w:before="0" w:after="200"/>
              <w:jc w:val="right"/>
              <w:rPr>
                <w:lang w:val="uk-UA"/>
              </w:rPr>
            </w:pPr>
            <w:r>
              <w:rPr>
                <w:rFonts w:eastAsia="Times New Roman" w:cs="Times New Roman" w:ascii="Times New Roman" w:hAnsi="Times New Roman"/>
                <w:sz w:val="24"/>
                <w:szCs w:val="24"/>
                <w:lang w:val="ru-RU" w:eastAsia="ru-RU"/>
              </w:rPr>
              <w:t>4555</w:t>
            </w:r>
          </w:p>
        </w:tc>
      </w:tr>
      <w:tr>
        <w:trPr>
          <w:trHeight w:val="20" w:hRule="atLeast"/>
        </w:trPr>
        <w:tc>
          <w:tcPr>
            <w:tcW w:w="513" w:type="dxa"/>
            <w:tcBorders>
              <w:left w:val="single" w:sz="4" w:space="0" w:color="000000"/>
              <w:bottom w:val="single" w:sz="4" w:space="0" w:color="000000"/>
              <w:right w:val="single" w:sz="4" w:space="0" w:color="000000"/>
            </w:tcBorders>
            <w:shd w:color="auto" w:fill="auto" w:val="clear"/>
            <w:vAlign w:val="center"/>
          </w:tcPr>
          <w:p>
            <w:pPr>
              <w:pStyle w:val="Normal"/>
              <w:spacing w:before="0" w:after="200"/>
              <w:jc w:val="right"/>
              <w:rPr>
                <w:lang w:val="uk-UA"/>
              </w:rPr>
            </w:pPr>
            <w:r>
              <w:rPr>
                <w:rFonts w:ascii="Times New Roman" w:hAnsi="Times New Roman"/>
                <w:lang w:val="uk-UA"/>
              </w:rPr>
              <w:t>2</w:t>
            </w:r>
          </w:p>
        </w:tc>
        <w:tc>
          <w:tcPr>
            <w:tcW w:w="5607" w:type="dxa"/>
            <w:tcBorders>
              <w:bottom w:val="single" w:sz="4" w:space="0" w:color="000000"/>
              <w:right w:val="single" w:sz="4" w:space="0" w:color="000000"/>
            </w:tcBorders>
            <w:shd w:color="auto" w:fill="auto" w:val="clear"/>
            <w:vAlign w:val="center"/>
          </w:tcPr>
          <w:p>
            <w:pPr>
              <w:pStyle w:val="Normal"/>
              <w:spacing w:before="0" w:after="200"/>
              <w:rPr>
                <w:lang w:val="uk-UA"/>
              </w:rPr>
            </w:pPr>
            <w:r>
              <w:rPr>
                <w:rFonts w:ascii="Times New Roman" w:hAnsi="Times New Roman"/>
                <w:lang w:val="uk-UA"/>
              </w:rPr>
              <w:t>Швидколіквідні активи</w:t>
              <w:br/>
              <w:t>(стр.1120+1125+1130+1135+1140+1155+1170+1190)</w:t>
            </w:r>
          </w:p>
        </w:tc>
        <w:tc>
          <w:tcPr>
            <w:tcW w:w="1396" w:type="dxa"/>
            <w:tcBorders>
              <w:bottom w:val="single" w:sz="4" w:space="0" w:color="000000"/>
              <w:right w:val="single" w:sz="4" w:space="0" w:color="000000"/>
            </w:tcBorders>
            <w:shd w:color="auto" w:fill="auto" w:val="clear"/>
            <w:vAlign w:val="center"/>
          </w:tcPr>
          <w:p>
            <w:pPr>
              <w:pStyle w:val="Normal"/>
              <w:spacing w:before="0" w:after="200"/>
              <w:jc w:val="center"/>
              <w:rPr>
                <w:lang w:val="uk-UA"/>
              </w:rPr>
            </w:pPr>
            <w:r>
              <w:rPr>
                <w:rFonts w:ascii="Times New Roman" w:hAnsi="Times New Roman"/>
                <w:lang w:val="uk-UA"/>
              </w:rPr>
              <w:t>А2</w:t>
            </w:r>
          </w:p>
        </w:tc>
        <w:tc>
          <w:tcPr>
            <w:tcW w:w="1048" w:type="dxa"/>
            <w:tcBorders>
              <w:bottom w:val="single" w:sz="4" w:space="0" w:color="000000"/>
              <w:right w:val="single" w:sz="4" w:space="0" w:color="000000"/>
            </w:tcBorders>
            <w:shd w:color="auto" w:fill="auto" w:val="clear"/>
            <w:vAlign w:val="center"/>
          </w:tcPr>
          <w:p>
            <w:pPr>
              <w:pStyle w:val="Normal"/>
              <w:spacing w:before="0" w:after="200"/>
              <w:jc w:val="right"/>
              <w:rPr>
                <w:lang w:val="uk-UA"/>
              </w:rPr>
            </w:pPr>
            <w:r>
              <w:rPr>
                <w:rFonts w:eastAsia="Times New Roman" w:cs="Times New Roman" w:ascii="Times New Roman" w:hAnsi="Times New Roman"/>
                <w:sz w:val="24"/>
                <w:szCs w:val="24"/>
                <w:lang w:val="ru-RU" w:eastAsia="ru-RU"/>
              </w:rPr>
              <w:t>51229</w:t>
            </w:r>
          </w:p>
        </w:tc>
        <w:tc>
          <w:tcPr>
            <w:tcW w:w="1040" w:type="dxa"/>
            <w:tcBorders>
              <w:bottom w:val="single" w:sz="4" w:space="0" w:color="000000"/>
              <w:right w:val="single" w:sz="4" w:space="0" w:color="000000"/>
            </w:tcBorders>
            <w:shd w:color="auto" w:fill="auto" w:val="clear"/>
            <w:vAlign w:val="center"/>
          </w:tcPr>
          <w:p>
            <w:pPr>
              <w:pStyle w:val="Normal"/>
              <w:spacing w:before="0" w:after="200"/>
              <w:jc w:val="right"/>
              <w:rPr>
                <w:lang w:val="uk-UA"/>
              </w:rPr>
            </w:pPr>
            <w:r>
              <w:rPr>
                <w:rFonts w:eastAsia="Times New Roman" w:cs="Times New Roman" w:ascii="Times New Roman" w:hAnsi="Times New Roman"/>
                <w:sz w:val="24"/>
                <w:szCs w:val="24"/>
                <w:lang w:val="ru-RU" w:eastAsia="ru-RU"/>
              </w:rPr>
              <w:t>44080</w:t>
            </w:r>
          </w:p>
        </w:tc>
      </w:tr>
      <w:tr>
        <w:trPr>
          <w:trHeight w:val="20" w:hRule="atLeast"/>
        </w:trPr>
        <w:tc>
          <w:tcPr>
            <w:tcW w:w="513" w:type="dxa"/>
            <w:tcBorders>
              <w:left w:val="single" w:sz="4" w:space="0" w:color="000000"/>
              <w:bottom w:val="single" w:sz="4" w:space="0" w:color="000000"/>
              <w:right w:val="single" w:sz="4" w:space="0" w:color="000000"/>
            </w:tcBorders>
            <w:shd w:color="auto" w:fill="auto" w:val="clear"/>
            <w:vAlign w:val="center"/>
          </w:tcPr>
          <w:p>
            <w:pPr>
              <w:pStyle w:val="Normal"/>
              <w:spacing w:before="0" w:after="200"/>
              <w:jc w:val="right"/>
              <w:rPr>
                <w:lang w:val="uk-UA"/>
              </w:rPr>
            </w:pPr>
            <w:r>
              <w:rPr>
                <w:rFonts w:ascii="Times New Roman" w:hAnsi="Times New Roman"/>
                <w:lang w:val="uk-UA"/>
              </w:rPr>
              <w:t>3</w:t>
            </w:r>
          </w:p>
        </w:tc>
        <w:tc>
          <w:tcPr>
            <w:tcW w:w="5607" w:type="dxa"/>
            <w:tcBorders>
              <w:bottom w:val="single" w:sz="4" w:space="0" w:color="000000"/>
              <w:right w:val="single" w:sz="4" w:space="0" w:color="000000"/>
            </w:tcBorders>
            <w:shd w:color="auto" w:fill="auto" w:val="clear"/>
            <w:vAlign w:val="center"/>
          </w:tcPr>
          <w:p>
            <w:pPr>
              <w:pStyle w:val="Normal"/>
              <w:spacing w:before="0" w:after="200"/>
              <w:rPr>
                <w:lang w:val="uk-UA"/>
              </w:rPr>
            </w:pPr>
            <w:r>
              <w:rPr>
                <w:rFonts w:ascii="Times New Roman" w:hAnsi="Times New Roman"/>
                <w:lang w:val="uk-UA"/>
              </w:rPr>
              <w:t>Повільноліквідні активи (стр.1100)</w:t>
            </w:r>
          </w:p>
        </w:tc>
        <w:tc>
          <w:tcPr>
            <w:tcW w:w="1396" w:type="dxa"/>
            <w:tcBorders>
              <w:bottom w:val="single" w:sz="4" w:space="0" w:color="000000"/>
              <w:right w:val="single" w:sz="4" w:space="0" w:color="000000"/>
            </w:tcBorders>
            <w:shd w:color="auto" w:fill="auto" w:val="clear"/>
            <w:vAlign w:val="center"/>
          </w:tcPr>
          <w:p>
            <w:pPr>
              <w:pStyle w:val="Normal"/>
              <w:spacing w:before="0" w:after="200"/>
              <w:jc w:val="center"/>
              <w:rPr>
                <w:lang w:val="uk-UA"/>
              </w:rPr>
            </w:pPr>
            <w:r>
              <w:rPr>
                <w:rFonts w:ascii="Times New Roman" w:hAnsi="Times New Roman"/>
                <w:lang w:val="uk-UA"/>
              </w:rPr>
              <w:t>А3</w:t>
            </w:r>
          </w:p>
        </w:tc>
        <w:tc>
          <w:tcPr>
            <w:tcW w:w="1048" w:type="dxa"/>
            <w:tcBorders>
              <w:bottom w:val="single" w:sz="4" w:space="0" w:color="000000"/>
              <w:right w:val="single" w:sz="4" w:space="0" w:color="000000"/>
            </w:tcBorders>
            <w:shd w:color="auto" w:fill="auto" w:val="clear"/>
            <w:vAlign w:val="bottom"/>
          </w:tcPr>
          <w:p>
            <w:pPr>
              <w:pStyle w:val="Normal"/>
              <w:spacing w:before="0" w:after="200"/>
              <w:jc w:val="right"/>
              <w:rPr>
                <w:lang w:val="uk-UA"/>
              </w:rPr>
            </w:pPr>
            <w:r>
              <w:rPr>
                <w:rFonts w:eastAsia="Times New Roman" w:cs="Times New Roman" w:ascii="Times New Roman" w:hAnsi="Times New Roman"/>
                <w:sz w:val="24"/>
                <w:szCs w:val="24"/>
                <w:lang w:val="ru-RU" w:eastAsia="ru-RU"/>
              </w:rPr>
              <w:t>4809</w:t>
            </w:r>
          </w:p>
        </w:tc>
        <w:tc>
          <w:tcPr>
            <w:tcW w:w="1040" w:type="dxa"/>
            <w:tcBorders>
              <w:bottom w:val="single" w:sz="4" w:space="0" w:color="000000"/>
              <w:right w:val="single" w:sz="4" w:space="0" w:color="000000"/>
            </w:tcBorders>
            <w:shd w:color="auto" w:fill="auto" w:val="clear"/>
            <w:vAlign w:val="bottom"/>
          </w:tcPr>
          <w:p>
            <w:pPr>
              <w:pStyle w:val="Normal"/>
              <w:spacing w:before="0" w:after="200"/>
              <w:jc w:val="right"/>
              <w:rPr>
                <w:lang w:val="uk-UA"/>
              </w:rPr>
            </w:pPr>
            <w:r>
              <w:rPr>
                <w:rFonts w:eastAsia="Times New Roman" w:cs="Times New Roman" w:ascii="Times New Roman" w:hAnsi="Times New Roman"/>
                <w:sz w:val="24"/>
                <w:szCs w:val="24"/>
                <w:lang w:val="ru-RU" w:eastAsia="ru-RU"/>
              </w:rPr>
              <w:t>4998</w:t>
            </w:r>
          </w:p>
        </w:tc>
      </w:tr>
      <w:tr>
        <w:trPr>
          <w:trHeight w:val="20" w:hRule="atLeast"/>
        </w:trPr>
        <w:tc>
          <w:tcPr>
            <w:tcW w:w="513" w:type="dxa"/>
            <w:tcBorders>
              <w:left w:val="single" w:sz="4" w:space="0" w:color="000000"/>
              <w:bottom w:val="single" w:sz="4" w:space="0" w:color="000000"/>
              <w:right w:val="single" w:sz="4" w:space="0" w:color="000000"/>
            </w:tcBorders>
            <w:shd w:color="auto" w:fill="auto" w:val="clear"/>
            <w:vAlign w:val="center"/>
          </w:tcPr>
          <w:p>
            <w:pPr>
              <w:pStyle w:val="Normal"/>
              <w:spacing w:before="0" w:after="200"/>
              <w:jc w:val="right"/>
              <w:rPr>
                <w:lang w:val="uk-UA"/>
              </w:rPr>
            </w:pPr>
            <w:r>
              <w:rPr>
                <w:rFonts w:ascii="Times New Roman" w:hAnsi="Times New Roman"/>
                <w:lang w:val="uk-UA"/>
              </w:rPr>
              <w:t>4</w:t>
            </w:r>
          </w:p>
        </w:tc>
        <w:tc>
          <w:tcPr>
            <w:tcW w:w="5607" w:type="dxa"/>
            <w:tcBorders>
              <w:bottom w:val="single" w:sz="4" w:space="0" w:color="000000"/>
              <w:right w:val="single" w:sz="4" w:space="0" w:color="000000"/>
            </w:tcBorders>
            <w:shd w:color="auto" w:fill="auto" w:val="clear"/>
            <w:vAlign w:val="center"/>
          </w:tcPr>
          <w:p>
            <w:pPr>
              <w:pStyle w:val="Normal"/>
              <w:spacing w:before="0" w:after="200"/>
              <w:rPr>
                <w:lang w:val="uk-UA"/>
              </w:rPr>
            </w:pPr>
            <w:r>
              <w:rPr>
                <w:rFonts w:ascii="Times New Roman" w:hAnsi="Times New Roman"/>
                <w:lang w:val="uk-UA"/>
              </w:rPr>
              <w:t>Важколіквідні активи (стр.1095)</w:t>
            </w:r>
          </w:p>
        </w:tc>
        <w:tc>
          <w:tcPr>
            <w:tcW w:w="1396" w:type="dxa"/>
            <w:tcBorders>
              <w:bottom w:val="single" w:sz="4" w:space="0" w:color="000000"/>
              <w:right w:val="single" w:sz="4" w:space="0" w:color="000000"/>
            </w:tcBorders>
            <w:shd w:color="auto" w:fill="auto" w:val="clear"/>
            <w:vAlign w:val="center"/>
          </w:tcPr>
          <w:p>
            <w:pPr>
              <w:pStyle w:val="Normal"/>
              <w:spacing w:before="0" w:after="200"/>
              <w:jc w:val="center"/>
              <w:rPr>
                <w:lang w:val="uk-UA"/>
              </w:rPr>
            </w:pPr>
            <w:r>
              <w:rPr>
                <w:rFonts w:ascii="Times New Roman" w:hAnsi="Times New Roman"/>
                <w:lang w:val="uk-UA"/>
              </w:rPr>
              <w:t>А4</w:t>
            </w:r>
          </w:p>
        </w:tc>
        <w:tc>
          <w:tcPr>
            <w:tcW w:w="1048" w:type="dxa"/>
            <w:tcBorders>
              <w:bottom w:val="single" w:sz="4" w:space="0" w:color="000000"/>
              <w:right w:val="single" w:sz="4" w:space="0" w:color="000000"/>
            </w:tcBorders>
            <w:shd w:color="auto" w:fill="auto" w:val="clear"/>
            <w:vAlign w:val="bottom"/>
          </w:tcPr>
          <w:p>
            <w:pPr>
              <w:pStyle w:val="Normal"/>
              <w:spacing w:before="0" w:after="200"/>
              <w:jc w:val="right"/>
              <w:rPr>
                <w:bCs/>
                <w:lang w:val="uk-UA"/>
              </w:rPr>
            </w:pPr>
            <w:r>
              <w:rPr>
                <w:rFonts w:eastAsia="Times New Roman" w:cs="Times New Roman" w:ascii="Times New Roman" w:hAnsi="Times New Roman"/>
                <w:bCs/>
                <w:sz w:val="24"/>
                <w:szCs w:val="24"/>
                <w:lang w:val="ru-RU" w:eastAsia="ru-RU"/>
              </w:rPr>
              <w:t>217108</w:t>
            </w:r>
          </w:p>
        </w:tc>
        <w:tc>
          <w:tcPr>
            <w:tcW w:w="1040" w:type="dxa"/>
            <w:tcBorders>
              <w:bottom w:val="single" w:sz="4" w:space="0" w:color="000000"/>
              <w:right w:val="single" w:sz="4" w:space="0" w:color="000000"/>
            </w:tcBorders>
            <w:shd w:color="auto" w:fill="auto" w:val="clear"/>
            <w:vAlign w:val="bottom"/>
          </w:tcPr>
          <w:p>
            <w:pPr>
              <w:pStyle w:val="Normal"/>
              <w:spacing w:before="0" w:after="200"/>
              <w:jc w:val="right"/>
              <w:rPr>
                <w:bCs/>
                <w:lang w:val="uk-UA"/>
              </w:rPr>
            </w:pPr>
            <w:r>
              <w:rPr>
                <w:rFonts w:eastAsia="Times New Roman" w:cs="Times New Roman" w:ascii="Times New Roman" w:hAnsi="Times New Roman"/>
                <w:bCs/>
                <w:sz w:val="24"/>
                <w:szCs w:val="24"/>
                <w:lang w:val="ru-RU" w:eastAsia="ru-RU"/>
              </w:rPr>
              <w:t>221982</w:t>
            </w:r>
          </w:p>
        </w:tc>
      </w:tr>
      <w:tr>
        <w:trPr>
          <w:trHeight w:val="20" w:hRule="atLeast"/>
        </w:trPr>
        <w:tc>
          <w:tcPr>
            <w:tcW w:w="513" w:type="dxa"/>
            <w:tcBorders>
              <w:left w:val="single" w:sz="4" w:space="0" w:color="000000"/>
              <w:bottom w:val="single" w:sz="4" w:space="0" w:color="000000"/>
              <w:right w:val="single" w:sz="4" w:space="0" w:color="000000"/>
            </w:tcBorders>
            <w:shd w:color="auto" w:fill="auto" w:val="clear"/>
            <w:vAlign w:val="center"/>
          </w:tcPr>
          <w:p>
            <w:pPr>
              <w:pStyle w:val="Normal"/>
              <w:spacing w:before="0" w:after="200"/>
              <w:jc w:val="right"/>
              <w:rPr>
                <w:lang w:val="uk-UA"/>
              </w:rPr>
            </w:pPr>
            <w:r>
              <w:rPr>
                <w:rFonts w:ascii="Times New Roman" w:hAnsi="Times New Roman"/>
                <w:lang w:val="uk-UA"/>
              </w:rPr>
            </w:r>
          </w:p>
        </w:tc>
        <w:tc>
          <w:tcPr>
            <w:tcW w:w="5607" w:type="dxa"/>
            <w:tcBorders>
              <w:bottom w:val="single" w:sz="4" w:space="0" w:color="000000"/>
              <w:right w:val="single" w:sz="4" w:space="0" w:color="000000"/>
            </w:tcBorders>
            <w:shd w:color="auto" w:fill="auto" w:val="clear"/>
            <w:vAlign w:val="center"/>
          </w:tcPr>
          <w:p>
            <w:pPr>
              <w:pStyle w:val="Normal"/>
              <w:spacing w:before="0" w:after="200"/>
              <w:rPr>
                <w:b/>
                <w:b/>
                <w:lang w:val="uk-UA"/>
              </w:rPr>
            </w:pPr>
            <w:r>
              <w:rPr>
                <w:rFonts w:ascii="Times New Roman" w:hAnsi="Times New Roman"/>
                <w:b/>
                <w:lang w:val="uk-UA"/>
              </w:rPr>
              <w:t>Баланс</w:t>
            </w:r>
          </w:p>
        </w:tc>
        <w:tc>
          <w:tcPr>
            <w:tcW w:w="1396" w:type="dxa"/>
            <w:tcBorders>
              <w:bottom w:val="single" w:sz="4" w:space="0" w:color="000000"/>
              <w:right w:val="single" w:sz="4" w:space="0" w:color="000000"/>
            </w:tcBorders>
            <w:shd w:color="auto" w:fill="auto" w:val="clear"/>
            <w:vAlign w:val="center"/>
          </w:tcPr>
          <w:p>
            <w:pPr>
              <w:pStyle w:val="Normal"/>
              <w:spacing w:before="0" w:after="200"/>
              <w:jc w:val="center"/>
              <w:rPr>
                <w:lang w:val="uk-UA"/>
              </w:rPr>
            </w:pPr>
            <w:r>
              <w:rPr>
                <w:rFonts w:ascii="Times New Roman" w:hAnsi="Times New Roman"/>
                <w:lang w:val="uk-UA"/>
              </w:rPr>
            </w:r>
          </w:p>
        </w:tc>
        <w:tc>
          <w:tcPr>
            <w:tcW w:w="1048" w:type="dxa"/>
            <w:tcBorders>
              <w:bottom w:val="single" w:sz="4" w:space="0" w:color="000000"/>
              <w:right w:val="single" w:sz="4" w:space="0" w:color="000000"/>
            </w:tcBorders>
            <w:shd w:color="auto" w:fill="auto" w:val="clear"/>
            <w:vAlign w:val="center"/>
          </w:tcPr>
          <w:p>
            <w:pPr>
              <w:pStyle w:val="Normal"/>
              <w:spacing w:before="0" w:after="200"/>
              <w:jc w:val="right"/>
              <w:rPr>
                <w:b/>
                <w:b/>
                <w:lang w:val="uk-UA"/>
              </w:rPr>
            </w:pPr>
            <w:r>
              <w:rPr>
                <w:rFonts w:ascii="Times New Roman" w:hAnsi="Times New Roman"/>
                <w:b/>
                <w:lang w:val="ru-RU"/>
              </w:rPr>
              <w:t>277307</w:t>
            </w:r>
          </w:p>
        </w:tc>
        <w:tc>
          <w:tcPr>
            <w:tcW w:w="1040" w:type="dxa"/>
            <w:tcBorders>
              <w:bottom w:val="single" w:sz="4" w:space="0" w:color="000000"/>
              <w:right w:val="single" w:sz="4" w:space="0" w:color="000000"/>
            </w:tcBorders>
            <w:shd w:color="auto" w:fill="auto" w:val="clear"/>
            <w:vAlign w:val="center"/>
          </w:tcPr>
          <w:p>
            <w:pPr>
              <w:pStyle w:val="Normal"/>
              <w:spacing w:before="0" w:after="200"/>
              <w:jc w:val="right"/>
              <w:rPr>
                <w:b/>
                <w:b/>
                <w:lang w:val="uk-UA"/>
              </w:rPr>
            </w:pPr>
            <w:r>
              <w:rPr>
                <w:rFonts w:ascii="Times New Roman" w:hAnsi="Times New Roman"/>
                <w:b/>
                <w:lang w:val="ru-RU"/>
              </w:rPr>
              <w:t>275615</w:t>
            </w:r>
          </w:p>
        </w:tc>
      </w:tr>
      <w:tr>
        <w:trPr>
          <w:trHeight w:val="20" w:hRule="atLeast"/>
        </w:trPr>
        <w:tc>
          <w:tcPr>
            <w:tcW w:w="513" w:type="dxa"/>
            <w:tcBorders>
              <w:left w:val="single" w:sz="4" w:space="0" w:color="000000"/>
              <w:bottom w:val="single" w:sz="4" w:space="0" w:color="000000"/>
              <w:right w:val="single" w:sz="4" w:space="0" w:color="000000"/>
            </w:tcBorders>
            <w:shd w:color="auto" w:fill="auto" w:val="clear"/>
            <w:vAlign w:val="center"/>
          </w:tcPr>
          <w:p>
            <w:pPr>
              <w:pStyle w:val="Normal"/>
              <w:spacing w:before="0" w:after="200"/>
              <w:jc w:val="right"/>
              <w:rPr>
                <w:lang w:val="uk-UA"/>
              </w:rPr>
            </w:pPr>
            <w:r>
              <w:rPr>
                <w:rFonts w:ascii="Times New Roman" w:hAnsi="Times New Roman"/>
                <w:lang w:val="uk-UA"/>
              </w:rPr>
              <w:t> </w:t>
            </w:r>
          </w:p>
        </w:tc>
        <w:tc>
          <w:tcPr>
            <w:tcW w:w="9091" w:type="dxa"/>
            <w:gridSpan w:val="4"/>
            <w:tcBorders>
              <w:bottom w:val="single" w:sz="4" w:space="0" w:color="000000"/>
              <w:right w:val="single" w:sz="4" w:space="0" w:color="000000"/>
            </w:tcBorders>
            <w:shd w:color="auto" w:fill="auto" w:val="clear"/>
            <w:vAlign w:val="center"/>
          </w:tcPr>
          <w:p>
            <w:pPr>
              <w:pStyle w:val="Normal"/>
              <w:spacing w:before="0" w:after="200"/>
              <w:rPr>
                <w:lang w:val="uk-UA"/>
              </w:rPr>
            </w:pPr>
            <w:r>
              <w:rPr>
                <w:rFonts w:ascii="Times New Roman" w:hAnsi="Times New Roman"/>
                <w:b/>
                <w:lang w:val="uk-UA"/>
              </w:rPr>
              <w:t>Пасив</w:t>
            </w:r>
            <w:r>
              <w:rPr>
                <w:rFonts w:ascii="Times New Roman" w:hAnsi="Times New Roman"/>
                <w:lang w:val="uk-UA"/>
              </w:rPr>
              <w:t> </w:t>
            </w:r>
          </w:p>
        </w:tc>
      </w:tr>
      <w:tr>
        <w:trPr>
          <w:trHeight w:val="20" w:hRule="atLeast"/>
        </w:trPr>
        <w:tc>
          <w:tcPr>
            <w:tcW w:w="513" w:type="dxa"/>
            <w:tcBorders>
              <w:left w:val="single" w:sz="4" w:space="0" w:color="000000"/>
              <w:bottom w:val="single" w:sz="4" w:space="0" w:color="000000"/>
              <w:right w:val="single" w:sz="4" w:space="0" w:color="000000"/>
            </w:tcBorders>
            <w:shd w:color="auto" w:fill="auto" w:val="clear"/>
            <w:vAlign w:val="center"/>
          </w:tcPr>
          <w:p>
            <w:pPr>
              <w:pStyle w:val="Normal"/>
              <w:spacing w:before="0" w:after="200"/>
              <w:jc w:val="right"/>
              <w:rPr>
                <w:lang w:val="uk-UA"/>
              </w:rPr>
            </w:pPr>
            <w:r>
              <w:rPr>
                <w:rFonts w:ascii="Times New Roman" w:hAnsi="Times New Roman"/>
                <w:lang w:val="uk-UA"/>
              </w:rPr>
              <w:t>5</w:t>
            </w:r>
          </w:p>
        </w:tc>
        <w:tc>
          <w:tcPr>
            <w:tcW w:w="5607" w:type="dxa"/>
            <w:tcBorders>
              <w:bottom w:val="single" w:sz="4" w:space="0" w:color="000000"/>
              <w:right w:val="single" w:sz="4" w:space="0" w:color="000000"/>
            </w:tcBorders>
            <w:shd w:color="auto" w:fill="auto" w:val="clear"/>
            <w:vAlign w:val="center"/>
          </w:tcPr>
          <w:p>
            <w:pPr>
              <w:pStyle w:val="Normal"/>
              <w:spacing w:before="0" w:after="200"/>
              <w:rPr>
                <w:lang w:val="uk-UA"/>
              </w:rPr>
            </w:pPr>
            <w:r>
              <w:rPr>
                <w:rFonts w:ascii="Times New Roman" w:hAnsi="Times New Roman"/>
                <w:lang w:val="uk-UA"/>
              </w:rPr>
              <w:t xml:space="preserve">Найбільш термінові зобов’язання </w:t>
              <w:br/>
              <w:t>(стр.1695-1600-1610)</w:t>
            </w:r>
          </w:p>
        </w:tc>
        <w:tc>
          <w:tcPr>
            <w:tcW w:w="1396" w:type="dxa"/>
            <w:tcBorders>
              <w:bottom w:val="single" w:sz="4" w:space="0" w:color="000000"/>
              <w:right w:val="single" w:sz="4" w:space="0" w:color="000000"/>
            </w:tcBorders>
            <w:shd w:color="auto" w:fill="auto" w:val="clear"/>
            <w:vAlign w:val="center"/>
          </w:tcPr>
          <w:p>
            <w:pPr>
              <w:pStyle w:val="Normal"/>
              <w:spacing w:before="0" w:after="200"/>
              <w:jc w:val="center"/>
              <w:rPr>
                <w:lang w:val="uk-UA"/>
              </w:rPr>
            </w:pPr>
            <w:r>
              <w:rPr>
                <w:rFonts w:ascii="Times New Roman" w:hAnsi="Times New Roman"/>
                <w:lang w:val="uk-UA"/>
              </w:rPr>
              <w:t>П1</w:t>
            </w:r>
          </w:p>
        </w:tc>
        <w:tc>
          <w:tcPr>
            <w:tcW w:w="1048" w:type="dxa"/>
            <w:tcBorders>
              <w:bottom w:val="single" w:sz="4" w:space="0" w:color="000000"/>
              <w:right w:val="single" w:sz="4" w:space="0" w:color="000000"/>
            </w:tcBorders>
            <w:shd w:color="auto" w:fill="auto" w:val="clear"/>
            <w:vAlign w:val="bottom"/>
          </w:tcPr>
          <w:p>
            <w:pPr>
              <w:pStyle w:val="Normal"/>
              <w:spacing w:before="0" w:after="200"/>
              <w:jc w:val="right"/>
              <w:rPr>
                <w:lang w:val="uk-UA"/>
              </w:rPr>
            </w:pPr>
            <w:r>
              <w:rPr>
                <w:rFonts w:eastAsia="Times New Roman" w:cs="Times New Roman" w:ascii="Times New Roman" w:hAnsi="Times New Roman"/>
                <w:sz w:val="24"/>
                <w:szCs w:val="24"/>
                <w:lang w:val="ru-RU" w:eastAsia="ru-RU"/>
              </w:rPr>
              <w:t>180048</w:t>
            </w:r>
          </w:p>
        </w:tc>
        <w:tc>
          <w:tcPr>
            <w:tcW w:w="1040" w:type="dxa"/>
            <w:tcBorders>
              <w:bottom w:val="single" w:sz="4" w:space="0" w:color="000000"/>
              <w:right w:val="single" w:sz="4" w:space="0" w:color="000000"/>
            </w:tcBorders>
            <w:shd w:color="auto" w:fill="auto" w:val="clear"/>
            <w:vAlign w:val="bottom"/>
          </w:tcPr>
          <w:p>
            <w:pPr>
              <w:pStyle w:val="Normal"/>
              <w:spacing w:before="0" w:after="200"/>
              <w:jc w:val="right"/>
              <w:rPr>
                <w:lang w:val="uk-UA"/>
              </w:rPr>
            </w:pPr>
            <w:r>
              <w:rPr>
                <w:rFonts w:ascii="Times New Roman" w:hAnsi="Times New Roman"/>
                <w:lang w:val="ru-RU"/>
              </w:rPr>
              <w:t>162192</w:t>
            </w:r>
          </w:p>
        </w:tc>
      </w:tr>
      <w:tr>
        <w:trPr>
          <w:trHeight w:val="20" w:hRule="atLeast"/>
        </w:trPr>
        <w:tc>
          <w:tcPr>
            <w:tcW w:w="513" w:type="dxa"/>
            <w:tcBorders>
              <w:left w:val="single" w:sz="4" w:space="0" w:color="000000"/>
              <w:bottom w:val="single" w:sz="4" w:space="0" w:color="000000"/>
              <w:right w:val="single" w:sz="4" w:space="0" w:color="000000"/>
            </w:tcBorders>
            <w:shd w:color="auto" w:fill="auto" w:val="clear"/>
            <w:vAlign w:val="center"/>
          </w:tcPr>
          <w:p>
            <w:pPr>
              <w:pStyle w:val="Normal"/>
              <w:spacing w:before="0" w:after="200"/>
              <w:jc w:val="right"/>
              <w:rPr>
                <w:lang w:val="uk-UA"/>
              </w:rPr>
            </w:pPr>
            <w:r>
              <w:rPr>
                <w:rFonts w:ascii="Times New Roman" w:hAnsi="Times New Roman"/>
                <w:lang w:val="uk-UA"/>
              </w:rPr>
              <w:t>6</w:t>
            </w:r>
          </w:p>
        </w:tc>
        <w:tc>
          <w:tcPr>
            <w:tcW w:w="5607" w:type="dxa"/>
            <w:tcBorders>
              <w:bottom w:val="single" w:sz="4" w:space="0" w:color="000000"/>
              <w:right w:val="single" w:sz="4" w:space="0" w:color="000000"/>
            </w:tcBorders>
            <w:shd w:color="auto" w:fill="auto" w:val="clear"/>
            <w:vAlign w:val="center"/>
          </w:tcPr>
          <w:p>
            <w:pPr>
              <w:pStyle w:val="Normal"/>
              <w:spacing w:before="0" w:after="200"/>
              <w:rPr>
                <w:lang w:val="uk-UA"/>
              </w:rPr>
            </w:pPr>
            <w:r>
              <w:rPr>
                <w:rFonts w:ascii="Times New Roman" w:hAnsi="Times New Roman"/>
                <w:lang w:val="uk-UA"/>
              </w:rPr>
              <w:t>Короткострокові пасиви (стр.1600+1610)</w:t>
            </w:r>
          </w:p>
        </w:tc>
        <w:tc>
          <w:tcPr>
            <w:tcW w:w="1396" w:type="dxa"/>
            <w:tcBorders>
              <w:bottom w:val="single" w:sz="4" w:space="0" w:color="000000"/>
              <w:right w:val="single" w:sz="4" w:space="0" w:color="000000"/>
            </w:tcBorders>
            <w:shd w:color="auto" w:fill="auto" w:val="clear"/>
            <w:vAlign w:val="center"/>
          </w:tcPr>
          <w:p>
            <w:pPr>
              <w:pStyle w:val="Normal"/>
              <w:spacing w:before="0" w:after="200"/>
              <w:jc w:val="center"/>
              <w:rPr>
                <w:lang w:val="uk-UA"/>
              </w:rPr>
            </w:pPr>
            <w:r>
              <w:rPr>
                <w:rFonts w:ascii="Times New Roman" w:hAnsi="Times New Roman"/>
                <w:lang w:val="uk-UA"/>
              </w:rPr>
              <w:t>П2</w:t>
            </w:r>
          </w:p>
        </w:tc>
        <w:tc>
          <w:tcPr>
            <w:tcW w:w="1048" w:type="dxa"/>
            <w:tcBorders>
              <w:bottom w:val="single" w:sz="4" w:space="0" w:color="000000"/>
              <w:right w:val="single" w:sz="4" w:space="0" w:color="000000"/>
            </w:tcBorders>
            <w:shd w:color="auto" w:fill="auto" w:val="clear"/>
            <w:vAlign w:val="center"/>
          </w:tcPr>
          <w:p>
            <w:pPr>
              <w:pStyle w:val="Normal"/>
              <w:spacing w:before="0" w:after="200"/>
              <w:jc w:val="right"/>
              <w:rPr>
                <w:lang w:val="uk-UA"/>
              </w:rPr>
            </w:pPr>
            <w:r>
              <w:rPr>
                <w:rFonts w:ascii="Times New Roman" w:hAnsi="Times New Roman"/>
                <w:lang w:val="uk-UA"/>
              </w:rPr>
              <w:t>-</w:t>
            </w:r>
          </w:p>
        </w:tc>
        <w:tc>
          <w:tcPr>
            <w:tcW w:w="1040" w:type="dxa"/>
            <w:tcBorders>
              <w:bottom w:val="single" w:sz="4" w:space="0" w:color="000000"/>
              <w:right w:val="single" w:sz="4" w:space="0" w:color="000000"/>
            </w:tcBorders>
            <w:shd w:color="auto" w:fill="auto" w:val="clear"/>
            <w:vAlign w:val="center"/>
          </w:tcPr>
          <w:p>
            <w:pPr>
              <w:pStyle w:val="Normal"/>
              <w:spacing w:before="0" w:after="200"/>
              <w:jc w:val="right"/>
              <w:rPr>
                <w:lang w:val="uk-UA"/>
              </w:rPr>
            </w:pPr>
            <w:r>
              <w:rPr>
                <w:rFonts w:ascii="Times New Roman" w:hAnsi="Times New Roman"/>
                <w:lang w:val="uk-UA"/>
              </w:rPr>
              <w:t>-</w:t>
            </w:r>
          </w:p>
        </w:tc>
      </w:tr>
      <w:tr>
        <w:trPr>
          <w:trHeight w:val="20" w:hRule="atLeast"/>
        </w:trPr>
        <w:tc>
          <w:tcPr>
            <w:tcW w:w="513" w:type="dxa"/>
            <w:tcBorders>
              <w:left w:val="single" w:sz="4" w:space="0" w:color="000000"/>
              <w:bottom w:val="single" w:sz="4" w:space="0" w:color="000000"/>
              <w:right w:val="single" w:sz="4" w:space="0" w:color="000000"/>
            </w:tcBorders>
            <w:shd w:color="auto" w:fill="auto" w:val="clear"/>
            <w:vAlign w:val="center"/>
          </w:tcPr>
          <w:p>
            <w:pPr>
              <w:pStyle w:val="Normal"/>
              <w:spacing w:before="0" w:after="200"/>
              <w:jc w:val="right"/>
              <w:rPr>
                <w:lang w:val="uk-UA"/>
              </w:rPr>
            </w:pPr>
            <w:r>
              <w:rPr>
                <w:rFonts w:ascii="Times New Roman" w:hAnsi="Times New Roman"/>
                <w:lang w:val="uk-UA"/>
              </w:rPr>
              <w:t>7</w:t>
            </w:r>
          </w:p>
        </w:tc>
        <w:tc>
          <w:tcPr>
            <w:tcW w:w="5607" w:type="dxa"/>
            <w:tcBorders>
              <w:bottom w:val="single" w:sz="4" w:space="0" w:color="000000"/>
              <w:right w:val="single" w:sz="4" w:space="0" w:color="000000"/>
            </w:tcBorders>
            <w:shd w:color="auto" w:fill="auto" w:val="clear"/>
            <w:vAlign w:val="center"/>
          </w:tcPr>
          <w:p>
            <w:pPr>
              <w:pStyle w:val="Normal"/>
              <w:spacing w:before="0" w:after="200"/>
              <w:rPr>
                <w:lang w:val="uk-UA"/>
              </w:rPr>
            </w:pPr>
            <w:r>
              <w:rPr>
                <w:rFonts w:ascii="Times New Roman" w:hAnsi="Times New Roman"/>
                <w:lang w:val="uk-UA"/>
              </w:rPr>
              <w:t>Довгострокові пасиви (стр.1595)</w:t>
            </w:r>
          </w:p>
        </w:tc>
        <w:tc>
          <w:tcPr>
            <w:tcW w:w="1396" w:type="dxa"/>
            <w:tcBorders>
              <w:bottom w:val="single" w:sz="4" w:space="0" w:color="000000"/>
              <w:right w:val="single" w:sz="4" w:space="0" w:color="000000"/>
            </w:tcBorders>
            <w:shd w:color="auto" w:fill="auto" w:val="clear"/>
            <w:vAlign w:val="center"/>
          </w:tcPr>
          <w:p>
            <w:pPr>
              <w:pStyle w:val="Normal"/>
              <w:spacing w:before="0" w:after="200"/>
              <w:jc w:val="center"/>
              <w:rPr>
                <w:lang w:val="uk-UA"/>
              </w:rPr>
            </w:pPr>
            <w:r>
              <w:rPr>
                <w:rFonts w:ascii="Times New Roman" w:hAnsi="Times New Roman"/>
                <w:lang w:val="uk-UA"/>
              </w:rPr>
              <w:t>П3</w:t>
            </w:r>
          </w:p>
        </w:tc>
        <w:tc>
          <w:tcPr>
            <w:tcW w:w="1048" w:type="dxa"/>
            <w:tcBorders>
              <w:bottom w:val="single" w:sz="4" w:space="0" w:color="000000"/>
              <w:right w:val="single" w:sz="4" w:space="0" w:color="000000"/>
            </w:tcBorders>
            <w:shd w:color="auto" w:fill="auto" w:val="clear"/>
            <w:vAlign w:val="center"/>
          </w:tcPr>
          <w:p>
            <w:pPr>
              <w:pStyle w:val="Normal"/>
              <w:spacing w:before="0" w:after="200"/>
              <w:jc w:val="right"/>
              <w:rPr>
                <w:lang w:val="uk-UA"/>
              </w:rPr>
            </w:pPr>
            <w:r>
              <w:rPr>
                <w:rFonts w:ascii="Times New Roman" w:hAnsi="Times New Roman"/>
                <w:lang w:val="uk-UA"/>
              </w:rPr>
              <w:t>-</w:t>
            </w:r>
          </w:p>
        </w:tc>
        <w:tc>
          <w:tcPr>
            <w:tcW w:w="1040" w:type="dxa"/>
            <w:tcBorders>
              <w:bottom w:val="single" w:sz="4" w:space="0" w:color="000000"/>
              <w:right w:val="single" w:sz="4" w:space="0" w:color="000000"/>
            </w:tcBorders>
            <w:shd w:color="auto" w:fill="auto" w:val="clear"/>
            <w:vAlign w:val="center"/>
          </w:tcPr>
          <w:p>
            <w:pPr>
              <w:pStyle w:val="Normal"/>
              <w:spacing w:before="0" w:after="200"/>
              <w:jc w:val="right"/>
              <w:rPr>
                <w:lang w:val="uk-UA"/>
              </w:rPr>
            </w:pPr>
            <w:r>
              <w:rPr>
                <w:rFonts w:ascii="Times New Roman" w:hAnsi="Times New Roman"/>
                <w:lang w:val="uk-UA"/>
              </w:rPr>
              <w:t>-</w:t>
            </w:r>
          </w:p>
        </w:tc>
      </w:tr>
      <w:tr>
        <w:trPr>
          <w:trHeight w:val="20" w:hRule="atLeast"/>
        </w:trPr>
        <w:tc>
          <w:tcPr>
            <w:tcW w:w="513" w:type="dxa"/>
            <w:tcBorders>
              <w:left w:val="single" w:sz="4" w:space="0" w:color="000000"/>
              <w:bottom w:val="single" w:sz="4" w:space="0" w:color="000000"/>
              <w:right w:val="single" w:sz="4" w:space="0" w:color="000000"/>
            </w:tcBorders>
            <w:shd w:color="auto" w:fill="auto" w:val="clear"/>
            <w:vAlign w:val="center"/>
          </w:tcPr>
          <w:p>
            <w:pPr>
              <w:pStyle w:val="Normal"/>
              <w:spacing w:before="0" w:after="200"/>
              <w:jc w:val="right"/>
              <w:rPr>
                <w:lang w:val="uk-UA"/>
              </w:rPr>
            </w:pPr>
            <w:r>
              <w:rPr>
                <w:rFonts w:ascii="Times New Roman" w:hAnsi="Times New Roman"/>
                <w:lang w:val="uk-UA"/>
              </w:rPr>
              <w:t>8</w:t>
            </w:r>
          </w:p>
        </w:tc>
        <w:tc>
          <w:tcPr>
            <w:tcW w:w="5607" w:type="dxa"/>
            <w:tcBorders>
              <w:bottom w:val="single" w:sz="4" w:space="0" w:color="000000"/>
              <w:right w:val="single" w:sz="4" w:space="0" w:color="000000"/>
            </w:tcBorders>
            <w:shd w:color="auto" w:fill="auto" w:val="clear"/>
            <w:vAlign w:val="center"/>
          </w:tcPr>
          <w:p>
            <w:pPr>
              <w:pStyle w:val="Normal"/>
              <w:spacing w:before="0" w:after="200"/>
              <w:rPr>
                <w:lang w:val="uk-UA"/>
              </w:rPr>
            </w:pPr>
            <w:r>
              <w:rPr>
                <w:rFonts w:ascii="Times New Roman" w:hAnsi="Times New Roman"/>
                <w:lang w:val="uk-UA"/>
              </w:rPr>
              <w:t>Постійні пасиви (стр.1495)</w:t>
            </w:r>
          </w:p>
        </w:tc>
        <w:tc>
          <w:tcPr>
            <w:tcW w:w="1396" w:type="dxa"/>
            <w:tcBorders>
              <w:bottom w:val="single" w:sz="4" w:space="0" w:color="000000"/>
              <w:right w:val="single" w:sz="4" w:space="0" w:color="000000"/>
            </w:tcBorders>
            <w:shd w:color="auto" w:fill="auto" w:val="clear"/>
            <w:vAlign w:val="center"/>
          </w:tcPr>
          <w:p>
            <w:pPr>
              <w:pStyle w:val="Normal"/>
              <w:spacing w:before="0" w:after="200"/>
              <w:jc w:val="center"/>
              <w:rPr>
                <w:lang w:val="uk-UA"/>
              </w:rPr>
            </w:pPr>
            <w:r>
              <w:rPr>
                <w:rFonts w:ascii="Times New Roman" w:hAnsi="Times New Roman"/>
                <w:lang w:val="uk-UA"/>
              </w:rPr>
              <w:t>П4</w:t>
            </w:r>
          </w:p>
        </w:tc>
        <w:tc>
          <w:tcPr>
            <w:tcW w:w="1048" w:type="dxa"/>
            <w:tcBorders>
              <w:bottom w:val="single" w:sz="4" w:space="0" w:color="000000"/>
              <w:right w:val="single" w:sz="4" w:space="0" w:color="000000"/>
            </w:tcBorders>
            <w:shd w:color="auto" w:fill="auto" w:val="clear"/>
            <w:vAlign w:val="bottom"/>
          </w:tcPr>
          <w:p>
            <w:pPr>
              <w:pStyle w:val="Normal"/>
              <w:spacing w:before="0" w:after="200"/>
              <w:jc w:val="right"/>
              <w:rPr>
                <w:lang w:val="uk-UA"/>
              </w:rPr>
            </w:pPr>
            <w:r>
              <w:rPr>
                <w:rFonts w:eastAsia="Times New Roman" w:cs="Times New Roman" w:ascii="Times New Roman" w:hAnsi="Times New Roman"/>
                <w:sz w:val="22"/>
                <w:szCs w:val="22"/>
                <w:lang w:val="ru-RU" w:eastAsia="ru-RU"/>
              </w:rPr>
              <w:t>97259</w:t>
            </w:r>
          </w:p>
        </w:tc>
        <w:tc>
          <w:tcPr>
            <w:tcW w:w="1040" w:type="dxa"/>
            <w:tcBorders>
              <w:bottom w:val="single" w:sz="4" w:space="0" w:color="000000"/>
              <w:right w:val="single" w:sz="4" w:space="0" w:color="000000"/>
            </w:tcBorders>
            <w:shd w:color="auto" w:fill="auto" w:val="clear"/>
            <w:vAlign w:val="bottom"/>
          </w:tcPr>
          <w:p>
            <w:pPr>
              <w:pStyle w:val="Normal"/>
              <w:spacing w:before="0" w:after="200"/>
              <w:jc w:val="right"/>
              <w:rPr>
                <w:lang w:val="uk-UA"/>
              </w:rPr>
            </w:pPr>
            <w:r>
              <w:rPr>
                <w:rFonts w:eastAsia="Times New Roman" w:cs="Times New Roman" w:ascii="Times New Roman" w:hAnsi="Times New Roman"/>
                <w:sz w:val="22"/>
                <w:szCs w:val="22"/>
                <w:lang w:val="ru-RU" w:eastAsia="ru-RU"/>
              </w:rPr>
              <w:t>113423</w:t>
            </w:r>
          </w:p>
        </w:tc>
      </w:tr>
      <w:tr>
        <w:trPr>
          <w:trHeight w:val="20" w:hRule="atLeast"/>
        </w:trPr>
        <w:tc>
          <w:tcPr>
            <w:tcW w:w="513" w:type="dxa"/>
            <w:tcBorders>
              <w:left w:val="single" w:sz="4" w:space="0" w:color="000000"/>
              <w:bottom w:val="single" w:sz="4" w:space="0" w:color="000000"/>
              <w:right w:val="single" w:sz="4" w:space="0" w:color="000000"/>
            </w:tcBorders>
            <w:shd w:color="auto" w:fill="auto" w:val="clear"/>
            <w:vAlign w:val="center"/>
          </w:tcPr>
          <w:p>
            <w:pPr>
              <w:pStyle w:val="Normal"/>
              <w:spacing w:before="0" w:after="200"/>
              <w:jc w:val="right"/>
              <w:rPr>
                <w:lang w:val="uk-UA"/>
              </w:rPr>
            </w:pPr>
            <w:r>
              <w:rPr>
                <w:rFonts w:ascii="Times New Roman" w:hAnsi="Times New Roman"/>
                <w:lang w:val="uk-UA"/>
              </w:rPr>
            </w:r>
          </w:p>
        </w:tc>
        <w:tc>
          <w:tcPr>
            <w:tcW w:w="5607" w:type="dxa"/>
            <w:tcBorders>
              <w:bottom w:val="single" w:sz="4" w:space="0" w:color="000000"/>
              <w:right w:val="single" w:sz="4" w:space="0" w:color="000000"/>
            </w:tcBorders>
            <w:shd w:color="auto" w:fill="auto" w:val="clear"/>
            <w:vAlign w:val="center"/>
          </w:tcPr>
          <w:p>
            <w:pPr>
              <w:pStyle w:val="Normal"/>
              <w:spacing w:before="0" w:after="200"/>
              <w:rPr>
                <w:b/>
                <w:b/>
                <w:lang w:val="uk-UA"/>
              </w:rPr>
            </w:pPr>
            <w:r>
              <w:rPr>
                <w:rFonts w:ascii="Times New Roman" w:hAnsi="Times New Roman"/>
                <w:b/>
                <w:lang w:val="uk-UA"/>
              </w:rPr>
              <w:t>Баланс</w:t>
            </w:r>
          </w:p>
        </w:tc>
        <w:tc>
          <w:tcPr>
            <w:tcW w:w="1396" w:type="dxa"/>
            <w:tcBorders>
              <w:bottom w:val="single" w:sz="4" w:space="0" w:color="000000"/>
              <w:right w:val="single" w:sz="4" w:space="0" w:color="000000"/>
            </w:tcBorders>
            <w:shd w:color="auto" w:fill="auto" w:val="clear"/>
            <w:vAlign w:val="center"/>
          </w:tcPr>
          <w:p>
            <w:pPr>
              <w:pStyle w:val="Normal"/>
              <w:spacing w:before="0" w:after="200"/>
              <w:jc w:val="both"/>
              <w:rPr>
                <w:lang w:val="uk-UA"/>
              </w:rPr>
            </w:pPr>
            <w:r>
              <w:rPr>
                <w:rFonts w:ascii="Times New Roman" w:hAnsi="Times New Roman"/>
                <w:lang w:val="uk-UA"/>
              </w:rPr>
              <w:t> </w:t>
            </w:r>
          </w:p>
        </w:tc>
        <w:tc>
          <w:tcPr>
            <w:tcW w:w="1048" w:type="dxa"/>
            <w:tcBorders>
              <w:bottom w:val="single" w:sz="4" w:space="0" w:color="000000"/>
              <w:right w:val="single" w:sz="4" w:space="0" w:color="000000"/>
            </w:tcBorders>
            <w:shd w:color="auto" w:fill="auto" w:val="clear"/>
            <w:vAlign w:val="center"/>
          </w:tcPr>
          <w:p>
            <w:pPr>
              <w:pStyle w:val="Normal"/>
              <w:spacing w:before="0" w:after="200"/>
              <w:jc w:val="right"/>
              <w:rPr>
                <w:b/>
                <w:b/>
                <w:lang w:val="uk-UA"/>
              </w:rPr>
            </w:pPr>
            <w:r>
              <w:rPr>
                <w:rFonts w:eastAsia="Times New Roman" w:cs="Times New Roman" w:ascii="Times New Roman" w:hAnsi="Times New Roman"/>
                <w:b/>
                <w:sz w:val="24"/>
                <w:szCs w:val="24"/>
                <w:lang w:val="ru-RU" w:eastAsia="ru-RU"/>
              </w:rPr>
              <w:t>277307</w:t>
            </w:r>
          </w:p>
        </w:tc>
        <w:tc>
          <w:tcPr>
            <w:tcW w:w="1040" w:type="dxa"/>
            <w:tcBorders>
              <w:bottom w:val="single" w:sz="4" w:space="0" w:color="000000"/>
              <w:right w:val="single" w:sz="4" w:space="0" w:color="000000"/>
            </w:tcBorders>
            <w:shd w:color="auto" w:fill="auto" w:val="clear"/>
            <w:vAlign w:val="center"/>
          </w:tcPr>
          <w:p>
            <w:pPr>
              <w:pStyle w:val="Normal"/>
              <w:spacing w:before="0" w:after="200"/>
              <w:jc w:val="right"/>
              <w:rPr>
                <w:b/>
                <w:b/>
                <w:lang w:val="uk-UA"/>
              </w:rPr>
            </w:pPr>
            <w:r>
              <w:rPr>
                <w:rFonts w:ascii="Times New Roman" w:hAnsi="Times New Roman"/>
                <w:b/>
                <w:lang w:val="ru-RU"/>
              </w:rPr>
              <w:t>275615</w:t>
            </w:r>
          </w:p>
        </w:tc>
      </w:tr>
    </w:tbl>
    <w:p>
      <w:pPr>
        <w:pStyle w:val="Normal"/>
        <w:spacing w:lineRule="auto" w:line="276" w:before="120" w:after="120"/>
        <w:jc w:val="both"/>
        <w:rPr>
          <w:lang w:val="uk-UA"/>
        </w:rPr>
      </w:pPr>
      <w:r>
        <w:rPr>
          <w:rFonts w:ascii="Times New Roman" w:hAnsi="Times New Roman"/>
          <w:lang w:val="uk-UA"/>
        </w:rPr>
        <w:t>Для визначення ліквідності балансу використовуються відповідні групи активу і пасиву балансу. Баланс вважається абсолютно ліквідним, якщо виконуються чотири наступні співвідношення:</w:t>
      </w:r>
    </w:p>
    <w:p>
      <w:pPr>
        <w:pStyle w:val="ListParagraph"/>
        <w:numPr>
          <w:ilvl w:val="0"/>
          <w:numId w:val="2"/>
        </w:numPr>
        <w:spacing w:lineRule="auto" w:line="276" w:before="120" w:after="120"/>
        <w:contextualSpacing/>
        <w:jc w:val="both"/>
        <w:rPr>
          <w:color w:val="auto"/>
          <w:sz w:val="24"/>
          <w:szCs w:val="24"/>
          <w:lang w:val="uk-UA"/>
        </w:rPr>
      </w:pPr>
      <w:r>
        <w:rPr>
          <w:rFonts w:ascii="Times New Roman" w:hAnsi="Times New Roman"/>
          <w:color w:val="auto"/>
          <w:sz w:val="24"/>
          <w:szCs w:val="24"/>
          <w:lang w:val="uk-UA"/>
        </w:rPr>
        <w:t>А1≥П1, що не дотримано в аналізованому періоді;</w:t>
      </w:r>
    </w:p>
    <w:p>
      <w:pPr>
        <w:pStyle w:val="ListParagraph"/>
        <w:numPr>
          <w:ilvl w:val="0"/>
          <w:numId w:val="2"/>
        </w:numPr>
        <w:spacing w:lineRule="auto" w:line="276" w:before="120" w:after="120"/>
        <w:contextualSpacing/>
        <w:jc w:val="both"/>
        <w:rPr>
          <w:color w:val="auto"/>
          <w:sz w:val="24"/>
          <w:szCs w:val="24"/>
          <w:lang w:val="uk-UA"/>
        </w:rPr>
      </w:pPr>
      <w:r>
        <w:rPr>
          <w:rFonts w:ascii="Times New Roman" w:hAnsi="Times New Roman"/>
          <w:color w:val="auto"/>
          <w:sz w:val="24"/>
          <w:szCs w:val="24"/>
          <w:lang w:val="uk-UA"/>
        </w:rPr>
        <w:t>А2≥П2, що дотримано в аналізованому періоді;</w:t>
      </w:r>
    </w:p>
    <w:p>
      <w:pPr>
        <w:pStyle w:val="ListParagraph"/>
        <w:numPr>
          <w:ilvl w:val="0"/>
          <w:numId w:val="2"/>
        </w:numPr>
        <w:spacing w:lineRule="auto" w:line="276" w:before="120" w:after="120"/>
        <w:contextualSpacing/>
        <w:jc w:val="both"/>
        <w:rPr>
          <w:color w:val="auto"/>
          <w:sz w:val="24"/>
          <w:szCs w:val="24"/>
          <w:lang w:val="uk-UA"/>
        </w:rPr>
      </w:pPr>
      <w:r>
        <w:rPr>
          <w:rFonts w:ascii="Times New Roman" w:hAnsi="Times New Roman"/>
          <w:color w:val="auto"/>
          <w:sz w:val="24"/>
          <w:szCs w:val="24"/>
          <w:lang w:val="uk-UA"/>
        </w:rPr>
        <w:t>А3≥П3, що дотримано в аналізованому періоді;</w:t>
      </w:r>
    </w:p>
    <w:p>
      <w:pPr>
        <w:pStyle w:val="ListParagraph"/>
        <w:numPr>
          <w:ilvl w:val="0"/>
          <w:numId w:val="2"/>
        </w:numPr>
        <w:spacing w:lineRule="auto" w:line="276" w:before="120" w:after="120"/>
        <w:contextualSpacing/>
        <w:jc w:val="both"/>
        <w:rPr>
          <w:color w:val="auto"/>
          <w:sz w:val="24"/>
          <w:szCs w:val="24"/>
          <w:lang w:val="uk-UA"/>
        </w:rPr>
      </w:pPr>
      <w:r>
        <w:rPr>
          <w:rFonts w:ascii="Times New Roman" w:hAnsi="Times New Roman"/>
          <w:color w:val="auto"/>
          <w:sz w:val="24"/>
          <w:szCs w:val="24"/>
          <w:lang w:val="uk-UA"/>
        </w:rPr>
        <w:t>А4≤П4, що не дотримано в аналізованому періоді.</w:t>
      </w:r>
    </w:p>
    <w:p>
      <w:pPr>
        <w:pStyle w:val="Normal"/>
        <w:spacing w:lineRule="auto" w:line="276" w:before="120" w:after="120"/>
        <w:jc w:val="both"/>
        <w:rPr>
          <w:lang w:val="uk-UA"/>
        </w:rPr>
      </w:pPr>
      <w:r>
        <w:rPr>
          <w:rFonts w:ascii="Times New Roman" w:hAnsi="Times New Roman"/>
          <w:lang w:val="uk-UA"/>
        </w:rPr>
        <w:t xml:space="preserve">Результати аналізу ліквідності балансу свідчать, що на початок і на кінець </w:t>
      </w:r>
      <w:r>
        <w:rPr>
          <w:rFonts w:eastAsia="Times New Roman" w:cs="Times New Roman" w:ascii="Times New Roman" w:hAnsi="Times New Roman"/>
          <w:sz w:val="24"/>
          <w:szCs w:val="24"/>
          <w:lang w:val="ru-RU" w:eastAsia="ru-RU"/>
        </w:rPr>
        <w:t>2020</w:t>
      </w:r>
      <w:r>
        <w:rPr>
          <w:rFonts w:ascii="Times New Roman" w:hAnsi="Times New Roman"/>
          <w:lang w:val="uk-UA"/>
        </w:rPr>
        <w:t xml:space="preserve"> року баланс </w:t>
      </w:r>
      <w:r>
        <w:rPr>
          <w:rFonts w:ascii="Times New Roman" w:hAnsi="Times New Roman"/>
          <w:lang w:val="uk-UA"/>
        </w:rPr>
        <w:t>К</w:t>
      </w:r>
      <w:r>
        <w:rPr>
          <w:rFonts w:ascii="Times New Roman" w:hAnsi="Times New Roman"/>
          <w:lang w:val="uk-UA"/>
        </w:rPr>
        <w:t>П</w:t>
      </w:r>
      <w:r>
        <w:rPr>
          <w:rFonts w:ascii="Times New Roman" w:hAnsi="Times New Roman"/>
          <w:lang w:val="uk-UA"/>
        </w:rPr>
        <w:t xml:space="preserve"> ТЖКП </w:t>
      </w:r>
      <w:r>
        <w:rPr>
          <w:rFonts w:ascii="Times New Roman" w:hAnsi="Times New Roman"/>
          <w:lang w:val="uk-UA"/>
        </w:rPr>
        <w:t>є неліквідним. Це свідчить про недостатність у підприємства власних оборотних засобів, що забезпечують його фінансову стійкість.</w:t>
      </w:r>
    </w:p>
    <w:p>
      <w:pPr>
        <w:pStyle w:val="Normal"/>
        <w:spacing w:lineRule="auto" w:line="276" w:before="120" w:after="120"/>
        <w:jc w:val="both"/>
        <w:rPr>
          <w:lang w:val="uk-UA"/>
        </w:rPr>
      </w:pPr>
      <w:r>
        <w:rPr>
          <w:rFonts w:ascii="Times New Roman" w:hAnsi="Times New Roman"/>
          <w:lang w:val="uk-UA"/>
        </w:rPr>
        <w:t>Активи, що швидко реалізуються, значно менше короткострокових пасивів, що говорить про недостатню забезпеченість підприємства активами, які швидко реалізуються, і про нездатність підприємства розраховуватися по короткострокових зобов'язаннях.</w:t>
      </w:r>
    </w:p>
    <w:p>
      <w:pPr>
        <w:pStyle w:val="Normal"/>
        <w:spacing w:lineRule="auto" w:line="276" w:before="120" w:after="120"/>
        <w:jc w:val="both"/>
        <w:rPr>
          <w:lang w:val="uk-UA"/>
        </w:rPr>
      </w:pPr>
      <w:r>
        <w:rPr>
          <w:rFonts w:ascii="Times New Roman" w:hAnsi="Times New Roman"/>
          <w:lang w:val="uk-UA"/>
        </w:rPr>
        <w:t xml:space="preserve">У таблиці «Розрахунок фінансової стійкості і платоспроможності Підприємства приведені коефіцієнти, розраховані на основі даних річного балансу </w:t>
      </w:r>
    </w:p>
    <w:p>
      <w:pPr>
        <w:pStyle w:val="Normal"/>
        <w:spacing w:lineRule="auto" w:line="276" w:before="240" w:after="120"/>
        <w:jc w:val="both"/>
        <w:rPr>
          <w:b/>
          <w:b/>
          <w:lang w:val="uk-UA"/>
        </w:rPr>
      </w:pPr>
      <w:r>
        <w:rPr>
          <w:rFonts w:ascii="Times New Roman" w:hAnsi="Times New Roman"/>
          <w:b/>
          <w:lang w:val="uk-UA"/>
        </w:rPr>
        <w:t>Розрахунок фінансової стійкості і платоспроможності підприємства</w:t>
      </w:r>
    </w:p>
    <w:tbl>
      <w:tblPr>
        <w:tblW w:w="9698" w:type="dxa"/>
        <w:jc w:val="center"/>
        <w:tblInd w:w="0" w:type="dxa"/>
        <w:tblCellMar>
          <w:top w:w="0" w:type="dxa"/>
          <w:left w:w="108" w:type="dxa"/>
          <w:bottom w:w="0" w:type="dxa"/>
          <w:right w:w="108" w:type="dxa"/>
        </w:tblCellMar>
        <w:tblLook w:val="04a0"/>
      </w:tblPr>
      <w:tblGrid>
        <w:gridCol w:w="638"/>
        <w:gridCol w:w="4715"/>
        <w:gridCol w:w="1512"/>
        <w:gridCol w:w="1417"/>
        <w:gridCol w:w="1416"/>
      </w:tblGrid>
      <w:tr>
        <w:trPr>
          <w:trHeight w:val="20" w:hRule="atLeast"/>
        </w:trPr>
        <w:tc>
          <w:tcPr>
            <w:tcW w:w="638" w:type="dxa"/>
            <w:vMerge w:val="restart"/>
            <w:tcBorders>
              <w:top w:val="single" w:sz="4" w:space="0" w:color="000000"/>
              <w:left w:val="single" w:sz="4" w:space="0" w:color="000000"/>
              <w:right w:val="single" w:sz="4" w:space="0" w:color="000000"/>
            </w:tcBorders>
            <w:shd w:color="auto" w:fill="auto" w:val="clear"/>
            <w:vAlign w:val="center"/>
          </w:tcPr>
          <w:p>
            <w:pPr>
              <w:pStyle w:val="Normal"/>
              <w:spacing w:lineRule="auto" w:line="276" w:before="0" w:after="200"/>
              <w:jc w:val="center"/>
              <w:rPr>
                <w:bCs/>
                <w:lang w:val="uk-UA"/>
              </w:rPr>
            </w:pPr>
            <w:r>
              <w:rPr>
                <w:rFonts w:ascii="Times New Roman" w:hAnsi="Times New Roman"/>
                <w:bCs/>
                <w:lang w:val="uk-UA"/>
              </w:rPr>
              <w:t>№</w:t>
            </w:r>
            <w:r>
              <w:rPr>
                <w:rFonts w:ascii="Times New Roman" w:hAnsi="Times New Roman"/>
                <w:bCs/>
                <w:lang w:val="uk-UA"/>
              </w:rPr>
              <w:br/>
              <w:t>п/п</w:t>
            </w:r>
          </w:p>
        </w:tc>
        <w:tc>
          <w:tcPr>
            <w:tcW w:w="4715" w:type="dxa"/>
            <w:vMerge w:val="restart"/>
            <w:tcBorders>
              <w:top w:val="single" w:sz="4" w:space="0" w:color="000000"/>
              <w:right w:val="single" w:sz="4" w:space="0" w:color="000000"/>
            </w:tcBorders>
            <w:shd w:color="auto" w:fill="auto" w:val="clear"/>
            <w:vAlign w:val="center"/>
          </w:tcPr>
          <w:p>
            <w:pPr>
              <w:pStyle w:val="Normal"/>
              <w:spacing w:lineRule="auto" w:line="276" w:before="0" w:after="200"/>
              <w:jc w:val="center"/>
              <w:rPr>
                <w:bCs/>
                <w:lang w:val="uk-UA"/>
              </w:rPr>
            </w:pPr>
            <w:r>
              <w:rPr>
                <w:rFonts w:ascii="Times New Roman" w:hAnsi="Times New Roman"/>
                <w:bCs/>
                <w:lang w:val="uk-UA"/>
              </w:rPr>
              <w:t>Найменування коефіцієнта/</w:t>
              <w:br/>
              <w:t>формула розрахунку</w:t>
            </w:r>
          </w:p>
        </w:tc>
        <w:tc>
          <w:tcPr>
            <w:tcW w:w="1512" w:type="dxa"/>
            <w:vMerge w:val="restart"/>
            <w:tcBorders>
              <w:top w:val="single" w:sz="4" w:space="0" w:color="000000"/>
              <w:right w:val="single" w:sz="4" w:space="0" w:color="000000"/>
            </w:tcBorders>
            <w:shd w:color="auto" w:fill="auto" w:val="clear"/>
            <w:vAlign w:val="center"/>
          </w:tcPr>
          <w:p>
            <w:pPr>
              <w:pStyle w:val="Normal"/>
              <w:spacing w:lineRule="auto" w:line="276" w:before="0" w:after="200"/>
              <w:jc w:val="center"/>
              <w:rPr>
                <w:bCs/>
                <w:lang w:val="uk-UA"/>
              </w:rPr>
            </w:pPr>
            <w:r>
              <w:rPr>
                <w:rFonts w:ascii="Times New Roman" w:hAnsi="Times New Roman"/>
                <w:bCs/>
                <w:lang w:val="uk-UA"/>
              </w:rPr>
              <w:t>Нормативне</w:t>
              <w:br/>
              <w:t>значення</w:t>
            </w:r>
          </w:p>
        </w:tc>
        <w:tc>
          <w:tcPr>
            <w:tcW w:w="2833"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76" w:before="0" w:after="200"/>
              <w:jc w:val="center"/>
              <w:rPr>
                <w:bCs/>
                <w:lang w:val="uk-UA"/>
              </w:rPr>
            </w:pPr>
            <w:r>
              <w:rPr>
                <w:rFonts w:ascii="Times New Roman" w:hAnsi="Times New Roman"/>
                <w:bCs/>
                <w:lang w:val="uk-UA"/>
              </w:rPr>
              <w:t>Фактичне значення</w:t>
            </w:r>
          </w:p>
        </w:tc>
      </w:tr>
      <w:tr>
        <w:trPr>
          <w:trHeight w:val="20" w:hRule="atLeast"/>
        </w:trPr>
        <w:tc>
          <w:tcPr>
            <w:tcW w:w="638" w:type="dxa"/>
            <w:vMerge w:val="continue"/>
            <w:tcBorders>
              <w:left w:val="single" w:sz="4" w:space="0" w:color="000000"/>
              <w:bottom w:val="single" w:sz="4" w:space="0" w:color="000000"/>
              <w:right w:val="single" w:sz="4" w:space="0" w:color="000000"/>
            </w:tcBorders>
            <w:shd w:color="auto" w:fill="auto" w:val="clear"/>
            <w:vAlign w:val="center"/>
          </w:tcPr>
          <w:p>
            <w:pPr>
              <w:pStyle w:val="Normal"/>
              <w:spacing w:lineRule="auto" w:line="276" w:before="0" w:after="200"/>
              <w:jc w:val="both"/>
              <w:rPr>
                <w:b/>
                <w:b/>
                <w:bCs/>
                <w:lang w:val="uk-UA"/>
              </w:rPr>
            </w:pPr>
            <w:r>
              <w:rPr>
                <w:rFonts w:ascii="Times New Roman" w:hAnsi="Times New Roman"/>
                <w:b/>
                <w:bCs/>
                <w:lang w:val="uk-UA"/>
              </w:rPr>
            </w:r>
          </w:p>
        </w:tc>
        <w:tc>
          <w:tcPr>
            <w:tcW w:w="4715" w:type="dxa"/>
            <w:vMerge w:val="continue"/>
            <w:tcBorders>
              <w:bottom w:val="single" w:sz="4" w:space="0" w:color="000000"/>
              <w:right w:val="single" w:sz="4" w:space="0" w:color="000000"/>
            </w:tcBorders>
            <w:shd w:color="auto" w:fill="auto" w:val="clear"/>
            <w:vAlign w:val="center"/>
          </w:tcPr>
          <w:p>
            <w:pPr>
              <w:pStyle w:val="Normal"/>
              <w:spacing w:lineRule="auto" w:line="276" w:before="0" w:after="200"/>
              <w:jc w:val="both"/>
              <w:rPr>
                <w:bCs/>
                <w:lang w:val="uk-UA"/>
              </w:rPr>
            </w:pPr>
            <w:r>
              <w:rPr>
                <w:rFonts w:ascii="Times New Roman" w:hAnsi="Times New Roman"/>
                <w:bCs/>
                <w:lang w:val="uk-UA"/>
              </w:rPr>
            </w:r>
          </w:p>
        </w:tc>
        <w:tc>
          <w:tcPr>
            <w:tcW w:w="1512" w:type="dxa"/>
            <w:vMerge w:val="continue"/>
            <w:tcBorders>
              <w:bottom w:val="single" w:sz="4" w:space="0" w:color="000000"/>
              <w:right w:val="single" w:sz="4" w:space="0" w:color="000000"/>
            </w:tcBorders>
            <w:shd w:color="auto" w:fill="auto" w:val="clear"/>
            <w:vAlign w:val="center"/>
          </w:tcPr>
          <w:p>
            <w:pPr>
              <w:pStyle w:val="Normal"/>
              <w:spacing w:lineRule="auto" w:line="276" w:before="0" w:after="200"/>
              <w:jc w:val="both"/>
              <w:rPr>
                <w:bCs/>
                <w:lang w:val="uk-UA"/>
              </w:rPr>
            </w:pPr>
            <w:r>
              <w:rPr>
                <w:rFonts w:ascii="Times New Roman" w:hAnsi="Times New Roman"/>
                <w:bCs/>
                <w:lang w:val="uk-UA"/>
              </w:rPr>
            </w:r>
          </w:p>
        </w:tc>
        <w:tc>
          <w:tcPr>
            <w:tcW w:w="1417"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76" w:before="0" w:after="200"/>
              <w:jc w:val="both"/>
              <w:rPr>
                <w:bCs/>
                <w:lang w:val="uk-UA"/>
              </w:rPr>
            </w:pPr>
            <w:r>
              <w:rPr>
                <w:rFonts w:ascii="Times New Roman" w:hAnsi="Times New Roman"/>
                <w:bCs/>
                <w:lang w:val="uk-UA"/>
              </w:rPr>
              <w:t>31.12.20</w:t>
            </w:r>
            <w:r>
              <w:rPr>
                <w:rFonts w:eastAsia="Times New Roman" w:cs="Times New Roman" w:ascii="Times New Roman" w:hAnsi="Times New Roman"/>
                <w:bCs/>
                <w:sz w:val="24"/>
                <w:szCs w:val="24"/>
                <w:lang w:val="ru-RU" w:eastAsia="ru-RU"/>
              </w:rPr>
              <w:t>20</w:t>
            </w:r>
          </w:p>
        </w:tc>
        <w:tc>
          <w:tcPr>
            <w:tcW w:w="1416"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76" w:before="0" w:after="200"/>
              <w:jc w:val="both"/>
              <w:rPr>
                <w:bCs/>
                <w:lang w:val="uk-UA"/>
              </w:rPr>
            </w:pPr>
            <w:r>
              <w:rPr>
                <w:rFonts w:ascii="Times New Roman" w:hAnsi="Times New Roman"/>
                <w:bCs/>
                <w:lang w:val="uk-UA"/>
              </w:rPr>
              <w:t>01.01.20</w:t>
            </w:r>
            <w:r>
              <w:rPr>
                <w:rFonts w:eastAsia="Times New Roman" w:cs="Times New Roman" w:ascii="Times New Roman" w:hAnsi="Times New Roman"/>
                <w:bCs/>
                <w:sz w:val="24"/>
                <w:szCs w:val="24"/>
                <w:lang w:val="ru-RU" w:eastAsia="ru-RU"/>
              </w:rPr>
              <w:t>20</w:t>
            </w:r>
          </w:p>
        </w:tc>
      </w:tr>
      <w:tr>
        <w:trPr>
          <w:trHeight w:val="20" w:hRule="atLeast"/>
        </w:trPr>
        <w:tc>
          <w:tcPr>
            <w:tcW w:w="6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before="0" w:after="200"/>
              <w:jc w:val="center"/>
              <w:rPr>
                <w:bCs/>
                <w:sz w:val="16"/>
                <w:szCs w:val="16"/>
                <w:lang w:val="uk-UA"/>
              </w:rPr>
            </w:pPr>
            <w:r>
              <w:rPr>
                <w:rFonts w:ascii="Times New Roman" w:hAnsi="Times New Roman"/>
                <w:bCs/>
                <w:sz w:val="16"/>
                <w:szCs w:val="16"/>
                <w:lang w:val="uk-UA"/>
              </w:rPr>
              <w:t>1</w:t>
            </w:r>
          </w:p>
        </w:tc>
        <w:tc>
          <w:tcPr>
            <w:tcW w:w="4715"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76" w:before="0" w:after="200"/>
              <w:jc w:val="center"/>
              <w:rPr>
                <w:bCs/>
                <w:sz w:val="16"/>
                <w:szCs w:val="16"/>
                <w:lang w:val="uk-UA"/>
              </w:rPr>
            </w:pPr>
            <w:r>
              <w:rPr>
                <w:rFonts w:ascii="Times New Roman" w:hAnsi="Times New Roman"/>
                <w:bCs/>
                <w:sz w:val="16"/>
                <w:szCs w:val="16"/>
                <w:lang w:val="uk-UA"/>
              </w:rPr>
              <w:t>2</w:t>
            </w:r>
          </w:p>
        </w:tc>
        <w:tc>
          <w:tcPr>
            <w:tcW w:w="1512"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76" w:before="0" w:after="200"/>
              <w:jc w:val="center"/>
              <w:rPr>
                <w:bCs/>
                <w:sz w:val="16"/>
                <w:szCs w:val="16"/>
                <w:lang w:val="uk-UA"/>
              </w:rPr>
            </w:pPr>
            <w:r>
              <w:rPr>
                <w:rFonts w:ascii="Times New Roman" w:hAnsi="Times New Roman"/>
                <w:bCs/>
                <w:sz w:val="16"/>
                <w:szCs w:val="16"/>
                <w:lang w:val="uk-UA"/>
              </w:rPr>
              <w:t>3</w:t>
            </w:r>
          </w:p>
        </w:tc>
        <w:tc>
          <w:tcPr>
            <w:tcW w:w="1417"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76" w:before="0" w:after="200"/>
              <w:jc w:val="center"/>
              <w:rPr>
                <w:bCs/>
                <w:sz w:val="16"/>
                <w:szCs w:val="16"/>
                <w:lang w:val="uk-UA"/>
              </w:rPr>
            </w:pPr>
            <w:r>
              <w:rPr>
                <w:rFonts w:ascii="Times New Roman" w:hAnsi="Times New Roman"/>
                <w:bCs/>
                <w:sz w:val="16"/>
                <w:szCs w:val="16"/>
                <w:lang w:val="uk-UA"/>
              </w:rPr>
              <w:t>4</w:t>
            </w:r>
          </w:p>
        </w:tc>
        <w:tc>
          <w:tcPr>
            <w:tcW w:w="1416"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76" w:before="0" w:after="200"/>
              <w:jc w:val="center"/>
              <w:rPr>
                <w:bCs/>
                <w:sz w:val="16"/>
                <w:szCs w:val="16"/>
                <w:lang w:val="uk-UA"/>
              </w:rPr>
            </w:pPr>
            <w:r>
              <w:rPr>
                <w:rFonts w:ascii="Times New Roman" w:hAnsi="Times New Roman"/>
                <w:bCs/>
                <w:sz w:val="16"/>
                <w:szCs w:val="16"/>
                <w:lang w:val="uk-UA"/>
              </w:rPr>
              <w:t>5</w:t>
            </w:r>
          </w:p>
        </w:tc>
      </w:tr>
      <w:tr>
        <w:trPr>
          <w:trHeight w:val="20" w:hRule="atLeast"/>
        </w:trPr>
        <w:tc>
          <w:tcPr>
            <w:tcW w:w="63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76" w:before="0" w:after="200"/>
              <w:jc w:val="center"/>
              <w:rPr>
                <w:lang w:val="uk-UA"/>
              </w:rPr>
            </w:pPr>
            <w:r>
              <w:rPr>
                <w:rFonts w:ascii="Times New Roman" w:hAnsi="Times New Roman"/>
                <w:lang w:val="uk-UA"/>
              </w:rPr>
              <w:t>1</w:t>
            </w:r>
          </w:p>
        </w:tc>
        <w:tc>
          <w:tcPr>
            <w:tcW w:w="4715" w:type="dxa"/>
            <w:tcBorders>
              <w:bottom w:val="single" w:sz="4" w:space="0" w:color="000000"/>
              <w:right w:val="single" w:sz="4" w:space="0" w:color="000000"/>
            </w:tcBorders>
            <w:shd w:color="auto" w:fill="auto" w:val="clear"/>
            <w:vAlign w:val="center"/>
          </w:tcPr>
          <w:p>
            <w:pPr>
              <w:pStyle w:val="Normal"/>
              <w:spacing w:lineRule="auto" w:line="276"/>
              <w:jc w:val="both"/>
              <w:rPr>
                <w:lang w:val="uk-UA"/>
              </w:rPr>
            </w:pPr>
            <w:r>
              <w:rPr>
                <w:rFonts w:ascii="Times New Roman" w:hAnsi="Times New Roman"/>
                <w:lang w:val="uk-UA"/>
              </w:rPr>
              <w:t xml:space="preserve">Коефіцієнт автономії </w:t>
            </w:r>
          </w:p>
          <w:p>
            <w:pPr>
              <w:pStyle w:val="Normal"/>
              <w:spacing w:lineRule="auto" w:line="276" w:before="0" w:after="200"/>
              <w:jc w:val="both"/>
              <w:rPr>
                <w:lang w:val="uk-UA"/>
              </w:rPr>
            </w:pPr>
            <w:r>
              <w:rPr>
                <w:rFonts w:ascii="Times New Roman" w:hAnsi="Times New Roman"/>
                <w:lang w:val="uk-UA"/>
              </w:rPr>
              <w:t>власний капітал (П1495) /валюта балансу (П1900)</w:t>
            </w:r>
          </w:p>
        </w:tc>
        <w:tc>
          <w:tcPr>
            <w:tcW w:w="1512" w:type="dxa"/>
            <w:tcBorders>
              <w:bottom w:val="single" w:sz="4" w:space="0" w:color="000000"/>
              <w:right w:val="single" w:sz="4" w:space="0" w:color="000000"/>
            </w:tcBorders>
            <w:shd w:color="auto" w:fill="auto" w:val="clear"/>
            <w:vAlign w:val="center"/>
          </w:tcPr>
          <w:p>
            <w:pPr>
              <w:pStyle w:val="Normal"/>
              <w:spacing w:lineRule="auto" w:line="276" w:before="0" w:after="200"/>
              <w:jc w:val="center"/>
              <w:rPr>
                <w:lang w:val="uk-UA"/>
              </w:rPr>
            </w:pPr>
            <w:r>
              <w:rPr>
                <w:rFonts w:ascii="Times New Roman" w:hAnsi="Times New Roman"/>
                <w:lang w:val="uk-UA"/>
              </w:rPr>
              <w:t>&gt;0,5</w:t>
            </w:r>
          </w:p>
        </w:tc>
        <w:tc>
          <w:tcPr>
            <w:tcW w:w="1417" w:type="dxa"/>
            <w:tcBorders>
              <w:bottom w:val="single" w:sz="4" w:space="0" w:color="000000"/>
              <w:right w:val="single" w:sz="4" w:space="0" w:color="000000"/>
            </w:tcBorders>
            <w:shd w:color="auto" w:fill="auto" w:val="clear"/>
            <w:vAlign w:val="center"/>
          </w:tcPr>
          <w:p>
            <w:pPr>
              <w:pStyle w:val="Normal"/>
              <w:spacing w:lineRule="auto" w:line="276" w:before="0" w:after="200"/>
              <w:jc w:val="center"/>
              <w:rPr>
                <w:lang w:val="uk-UA"/>
              </w:rPr>
            </w:pPr>
            <w:r>
              <w:rPr>
                <w:rFonts w:eastAsia="Times New Roman" w:cs="Times New Roman" w:ascii="Times New Roman" w:hAnsi="Times New Roman"/>
                <w:sz w:val="24"/>
                <w:szCs w:val="24"/>
                <w:lang w:val="ru-RU" w:eastAsia="ru-RU"/>
              </w:rPr>
              <w:t>0,35</w:t>
            </w:r>
          </w:p>
        </w:tc>
        <w:tc>
          <w:tcPr>
            <w:tcW w:w="1416" w:type="dxa"/>
            <w:tcBorders>
              <w:bottom w:val="single" w:sz="4" w:space="0" w:color="000000"/>
              <w:right w:val="single" w:sz="4" w:space="0" w:color="000000"/>
            </w:tcBorders>
            <w:shd w:color="auto" w:fill="auto" w:val="clear"/>
            <w:vAlign w:val="center"/>
          </w:tcPr>
          <w:p>
            <w:pPr>
              <w:pStyle w:val="Normal"/>
              <w:spacing w:lineRule="auto" w:line="276" w:before="0" w:after="200"/>
              <w:jc w:val="center"/>
              <w:rPr>
                <w:lang w:val="uk-UA"/>
              </w:rPr>
            </w:pPr>
            <w:r>
              <w:rPr>
                <w:rFonts w:eastAsia="Times New Roman" w:cs="Times New Roman" w:ascii="Times New Roman" w:hAnsi="Times New Roman"/>
                <w:sz w:val="24"/>
                <w:szCs w:val="24"/>
                <w:lang w:val="ru-RU" w:eastAsia="ru-RU"/>
              </w:rPr>
              <w:t>0,41</w:t>
            </w:r>
          </w:p>
        </w:tc>
      </w:tr>
      <w:tr>
        <w:trPr>
          <w:trHeight w:val="20" w:hRule="atLeast"/>
        </w:trPr>
        <w:tc>
          <w:tcPr>
            <w:tcW w:w="63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76" w:before="0" w:after="200"/>
              <w:jc w:val="center"/>
              <w:rPr>
                <w:lang w:val="uk-UA"/>
              </w:rPr>
            </w:pPr>
            <w:r>
              <w:rPr>
                <w:rFonts w:ascii="Times New Roman" w:hAnsi="Times New Roman"/>
                <w:lang w:val="uk-UA"/>
              </w:rPr>
              <w:t>2</w:t>
            </w:r>
          </w:p>
        </w:tc>
        <w:tc>
          <w:tcPr>
            <w:tcW w:w="4715" w:type="dxa"/>
            <w:tcBorders>
              <w:bottom w:val="single" w:sz="4" w:space="0" w:color="000000"/>
              <w:right w:val="single" w:sz="4" w:space="0" w:color="000000"/>
            </w:tcBorders>
            <w:shd w:color="auto" w:fill="auto" w:val="clear"/>
            <w:vAlign w:val="center"/>
          </w:tcPr>
          <w:p>
            <w:pPr>
              <w:pStyle w:val="Normal"/>
              <w:spacing w:lineRule="auto" w:line="276"/>
              <w:jc w:val="both"/>
              <w:rPr>
                <w:lang w:val="uk-UA"/>
              </w:rPr>
            </w:pPr>
            <w:r>
              <w:rPr>
                <w:rFonts w:ascii="Times New Roman" w:hAnsi="Times New Roman"/>
                <w:lang w:val="uk-UA"/>
              </w:rPr>
              <w:t xml:space="preserve">Коефіцієнт фінансової стійкості </w:t>
            </w:r>
          </w:p>
          <w:p>
            <w:pPr>
              <w:pStyle w:val="Normal"/>
              <w:spacing w:lineRule="auto" w:line="276" w:before="0" w:after="200"/>
              <w:jc w:val="both"/>
              <w:rPr>
                <w:lang w:val="uk-UA"/>
              </w:rPr>
            </w:pPr>
            <w:r>
              <w:rPr>
                <w:rFonts w:ascii="Times New Roman" w:hAnsi="Times New Roman"/>
                <w:lang w:val="uk-UA"/>
              </w:rPr>
              <w:t>(власний капітал (П1495) +довгострокові зобов'язання (П1595))/ валюта балансу (А1300)</w:t>
            </w:r>
          </w:p>
        </w:tc>
        <w:tc>
          <w:tcPr>
            <w:tcW w:w="1512" w:type="dxa"/>
            <w:tcBorders>
              <w:bottom w:val="single" w:sz="4" w:space="0" w:color="000000"/>
              <w:right w:val="single" w:sz="4" w:space="0" w:color="000000"/>
            </w:tcBorders>
            <w:shd w:color="auto" w:fill="auto" w:val="clear"/>
            <w:vAlign w:val="center"/>
          </w:tcPr>
          <w:p>
            <w:pPr>
              <w:pStyle w:val="Normal"/>
              <w:spacing w:lineRule="auto" w:line="276" w:before="0" w:after="200"/>
              <w:jc w:val="center"/>
              <w:rPr>
                <w:lang w:val="uk-UA"/>
              </w:rPr>
            </w:pPr>
            <w:r>
              <w:rPr>
                <w:rFonts w:ascii="Times New Roman" w:hAnsi="Times New Roman"/>
                <w:lang w:val="uk-UA"/>
              </w:rPr>
              <w:t>&gt;0,75</w:t>
            </w:r>
          </w:p>
        </w:tc>
        <w:tc>
          <w:tcPr>
            <w:tcW w:w="1417" w:type="dxa"/>
            <w:tcBorders>
              <w:bottom w:val="single" w:sz="4" w:space="0" w:color="000000"/>
              <w:right w:val="single" w:sz="4" w:space="0" w:color="000000"/>
            </w:tcBorders>
            <w:shd w:color="auto" w:fill="auto" w:val="clear"/>
            <w:vAlign w:val="center"/>
          </w:tcPr>
          <w:p>
            <w:pPr>
              <w:pStyle w:val="Normal"/>
              <w:spacing w:lineRule="auto" w:line="276" w:before="0" w:after="200"/>
              <w:jc w:val="center"/>
              <w:rPr>
                <w:lang w:val="uk-UA"/>
              </w:rPr>
            </w:pPr>
            <w:r>
              <w:rPr>
                <w:rFonts w:eastAsia="Times New Roman" w:cs="Times New Roman" w:ascii="Times New Roman" w:hAnsi="Times New Roman"/>
                <w:sz w:val="24"/>
                <w:szCs w:val="24"/>
                <w:lang w:val="ru-RU" w:eastAsia="ru-RU"/>
              </w:rPr>
              <w:t>0,35</w:t>
            </w:r>
          </w:p>
        </w:tc>
        <w:tc>
          <w:tcPr>
            <w:tcW w:w="1416" w:type="dxa"/>
            <w:tcBorders>
              <w:bottom w:val="single" w:sz="4" w:space="0" w:color="000000"/>
              <w:right w:val="single" w:sz="4" w:space="0" w:color="000000"/>
            </w:tcBorders>
            <w:shd w:color="auto" w:fill="auto" w:val="clear"/>
            <w:vAlign w:val="center"/>
          </w:tcPr>
          <w:p>
            <w:pPr>
              <w:pStyle w:val="Normal"/>
              <w:spacing w:lineRule="auto" w:line="276" w:before="0" w:after="200"/>
              <w:jc w:val="center"/>
              <w:rPr>
                <w:lang w:val="uk-UA"/>
              </w:rPr>
            </w:pPr>
            <w:r>
              <w:rPr>
                <w:rFonts w:eastAsia="Times New Roman" w:cs="Times New Roman" w:ascii="Times New Roman" w:hAnsi="Times New Roman"/>
                <w:sz w:val="24"/>
                <w:szCs w:val="24"/>
                <w:lang w:val="ru-RU" w:eastAsia="ru-RU"/>
              </w:rPr>
              <w:t>0,41</w:t>
            </w:r>
          </w:p>
        </w:tc>
      </w:tr>
      <w:tr>
        <w:trPr>
          <w:trHeight w:val="20" w:hRule="atLeast"/>
        </w:trPr>
        <w:tc>
          <w:tcPr>
            <w:tcW w:w="63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76" w:before="0" w:after="200"/>
              <w:jc w:val="center"/>
              <w:rPr>
                <w:lang w:val="uk-UA"/>
              </w:rPr>
            </w:pPr>
            <w:r>
              <w:rPr>
                <w:rFonts w:ascii="Times New Roman" w:hAnsi="Times New Roman"/>
                <w:lang w:val="uk-UA"/>
              </w:rPr>
              <w:t>3</w:t>
            </w:r>
          </w:p>
        </w:tc>
        <w:tc>
          <w:tcPr>
            <w:tcW w:w="4715" w:type="dxa"/>
            <w:tcBorders>
              <w:bottom w:val="single" w:sz="4" w:space="0" w:color="000000"/>
              <w:right w:val="single" w:sz="4" w:space="0" w:color="000000"/>
            </w:tcBorders>
            <w:shd w:color="auto" w:fill="auto" w:val="clear"/>
            <w:vAlign w:val="center"/>
          </w:tcPr>
          <w:p>
            <w:pPr>
              <w:pStyle w:val="Normal"/>
              <w:spacing w:lineRule="auto" w:line="276"/>
              <w:jc w:val="both"/>
              <w:rPr>
                <w:lang w:val="uk-UA"/>
              </w:rPr>
            </w:pPr>
            <w:r>
              <w:rPr>
                <w:rFonts w:ascii="Times New Roman" w:hAnsi="Times New Roman"/>
                <w:lang w:val="uk-UA"/>
              </w:rPr>
              <w:t>Коефіцієнт поточної ліквідності (покриття)</w:t>
            </w:r>
          </w:p>
          <w:p>
            <w:pPr>
              <w:pStyle w:val="Normal"/>
              <w:spacing w:lineRule="auto" w:line="276" w:before="0" w:after="200"/>
              <w:jc w:val="both"/>
              <w:rPr>
                <w:lang w:val="uk-UA"/>
              </w:rPr>
            </w:pPr>
            <w:r>
              <w:rPr>
                <w:rFonts w:ascii="Times New Roman" w:hAnsi="Times New Roman"/>
                <w:lang w:val="uk-UA"/>
              </w:rPr>
              <w:t>оборотні активи (А1195) / поточні зобов'язання (П1695)</w:t>
            </w:r>
          </w:p>
        </w:tc>
        <w:tc>
          <w:tcPr>
            <w:tcW w:w="1512" w:type="dxa"/>
            <w:tcBorders>
              <w:bottom w:val="single" w:sz="4" w:space="0" w:color="000000"/>
              <w:right w:val="single" w:sz="4" w:space="0" w:color="000000"/>
            </w:tcBorders>
            <w:shd w:color="auto" w:fill="auto" w:val="clear"/>
            <w:vAlign w:val="center"/>
          </w:tcPr>
          <w:p>
            <w:pPr>
              <w:pStyle w:val="Normal"/>
              <w:spacing w:lineRule="auto" w:line="276" w:before="0" w:after="200"/>
              <w:jc w:val="center"/>
              <w:rPr>
                <w:lang w:val="uk-UA"/>
              </w:rPr>
            </w:pPr>
            <w:r>
              <w:rPr>
                <w:rFonts w:ascii="Times New Roman" w:hAnsi="Times New Roman"/>
                <w:lang w:val="uk-UA"/>
              </w:rPr>
              <w:t>1÷2</w:t>
            </w:r>
          </w:p>
        </w:tc>
        <w:tc>
          <w:tcPr>
            <w:tcW w:w="1417" w:type="dxa"/>
            <w:tcBorders>
              <w:bottom w:val="single" w:sz="4" w:space="0" w:color="000000"/>
              <w:right w:val="single" w:sz="4" w:space="0" w:color="000000"/>
            </w:tcBorders>
            <w:shd w:color="auto" w:fill="auto" w:val="clear"/>
            <w:vAlign w:val="center"/>
          </w:tcPr>
          <w:p>
            <w:pPr>
              <w:pStyle w:val="Normal"/>
              <w:spacing w:lineRule="auto" w:line="276" w:before="0" w:after="200"/>
              <w:jc w:val="center"/>
              <w:rPr>
                <w:lang w:val="uk-UA"/>
              </w:rPr>
            </w:pPr>
            <w:r>
              <w:rPr>
                <w:rFonts w:eastAsia="Times New Roman" w:cs="Times New Roman" w:ascii="Times New Roman" w:hAnsi="Times New Roman"/>
                <w:sz w:val="24"/>
                <w:szCs w:val="24"/>
                <w:lang w:val="ru-RU" w:eastAsia="ru-RU"/>
              </w:rPr>
              <w:t>0,33</w:t>
            </w:r>
          </w:p>
        </w:tc>
        <w:tc>
          <w:tcPr>
            <w:tcW w:w="1416" w:type="dxa"/>
            <w:tcBorders>
              <w:bottom w:val="single" w:sz="4" w:space="0" w:color="000000"/>
              <w:right w:val="single" w:sz="4" w:space="0" w:color="000000"/>
            </w:tcBorders>
            <w:shd w:color="auto" w:fill="auto" w:val="clear"/>
            <w:vAlign w:val="center"/>
          </w:tcPr>
          <w:p>
            <w:pPr>
              <w:pStyle w:val="Normal"/>
              <w:spacing w:lineRule="auto" w:line="276" w:before="0" w:after="200"/>
              <w:jc w:val="center"/>
              <w:rPr>
                <w:lang w:val="uk-UA"/>
              </w:rPr>
            </w:pPr>
            <w:r>
              <w:rPr>
                <w:rFonts w:eastAsia="Times New Roman" w:cs="Times New Roman" w:ascii="Times New Roman" w:hAnsi="Times New Roman"/>
                <w:sz w:val="24"/>
                <w:szCs w:val="24"/>
                <w:lang w:val="ru-RU" w:eastAsia="ru-RU"/>
              </w:rPr>
              <w:t>0,33</w:t>
            </w:r>
          </w:p>
        </w:tc>
      </w:tr>
      <w:tr>
        <w:trPr>
          <w:trHeight w:val="20" w:hRule="atLeast"/>
        </w:trPr>
        <w:tc>
          <w:tcPr>
            <w:tcW w:w="6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before="0" w:after="200"/>
              <w:jc w:val="center"/>
              <w:rPr>
                <w:lang w:val="uk-UA"/>
              </w:rPr>
            </w:pPr>
            <w:r>
              <w:rPr>
                <w:rFonts w:ascii="Times New Roman" w:hAnsi="Times New Roman"/>
                <w:lang w:val="uk-UA"/>
              </w:rPr>
              <w:t>4</w:t>
            </w:r>
          </w:p>
        </w:tc>
        <w:tc>
          <w:tcPr>
            <w:tcW w:w="4715"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76"/>
              <w:jc w:val="both"/>
              <w:rPr>
                <w:lang w:val="uk-UA"/>
              </w:rPr>
            </w:pPr>
            <w:r>
              <w:rPr>
                <w:rFonts w:ascii="Times New Roman" w:hAnsi="Times New Roman"/>
                <w:lang w:val="uk-UA"/>
              </w:rPr>
              <w:t>Коефіцієнт термінової ліквідності</w:t>
            </w:r>
          </w:p>
          <w:p>
            <w:pPr>
              <w:pStyle w:val="Normal"/>
              <w:spacing w:lineRule="auto" w:line="276" w:before="0" w:after="200"/>
              <w:jc w:val="both"/>
              <w:rPr>
                <w:lang w:val="uk-UA"/>
              </w:rPr>
            </w:pPr>
            <w:r>
              <w:rPr>
                <w:rFonts w:ascii="Times New Roman" w:hAnsi="Times New Roman"/>
                <w:lang w:val="uk-UA"/>
              </w:rPr>
              <w:t>(короткострокова дебіторська заборгованість (А1120+А1125+А1135+А1130+А1140+А1155)  + короткострокові фінансові вкладення (А1160) + інші оборотні активи (А1190)  + грошові кошти (А1165)) / поточні зобов'язання (П1695)</w:t>
            </w:r>
          </w:p>
        </w:tc>
        <w:tc>
          <w:tcPr>
            <w:tcW w:w="1512"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76" w:before="0" w:after="200"/>
              <w:jc w:val="center"/>
              <w:rPr>
                <w:lang w:val="uk-UA"/>
              </w:rPr>
            </w:pPr>
            <w:r>
              <w:rPr>
                <w:rFonts w:ascii="Times New Roman" w:hAnsi="Times New Roman"/>
                <w:lang w:val="uk-UA"/>
              </w:rPr>
              <w:t>&gt;1</w:t>
            </w:r>
          </w:p>
        </w:tc>
        <w:tc>
          <w:tcPr>
            <w:tcW w:w="1417"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76" w:before="0" w:after="200"/>
              <w:jc w:val="center"/>
              <w:rPr>
                <w:lang w:val="uk-UA"/>
              </w:rPr>
            </w:pPr>
            <w:r>
              <w:rPr>
                <w:rFonts w:eastAsia="Times New Roman" w:cs="Times New Roman" w:ascii="Times New Roman" w:hAnsi="Times New Roman"/>
                <w:sz w:val="24"/>
                <w:szCs w:val="24"/>
                <w:lang w:val="ru-RU" w:eastAsia="ru-RU"/>
              </w:rPr>
              <w:t>0,31</w:t>
            </w:r>
          </w:p>
        </w:tc>
        <w:tc>
          <w:tcPr>
            <w:tcW w:w="1416"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76" w:before="0" w:after="200"/>
              <w:jc w:val="center"/>
              <w:rPr>
                <w:lang w:val="uk-UA"/>
              </w:rPr>
            </w:pPr>
            <w:r>
              <w:rPr>
                <w:rFonts w:eastAsia="Times New Roman" w:cs="Times New Roman" w:ascii="Times New Roman" w:hAnsi="Times New Roman"/>
                <w:sz w:val="24"/>
                <w:szCs w:val="24"/>
                <w:lang w:val="ru-RU" w:eastAsia="ru-RU"/>
              </w:rPr>
              <w:t>0,30</w:t>
            </w:r>
          </w:p>
        </w:tc>
      </w:tr>
      <w:tr>
        <w:trPr>
          <w:trHeight w:val="20" w:hRule="atLeast"/>
        </w:trPr>
        <w:tc>
          <w:tcPr>
            <w:tcW w:w="63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76" w:before="0" w:after="200"/>
              <w:jc w:val="center"/>
              <w:rPr>
                <w:lang w:val="uk-UA"/>
              </w:rPr>
            </w:pPr>
            <w:r>
              <w:rPr>
                <w:rFonts w:ascii="Times New Roman" w:hAnsi="Times New Roman"/>
                <w:lang w:val="uk-UA"/>
              </w:rPr>
              <w:t>5</w:t>
            </w:r>
          </w:p>
        </w:tc>
        <w:tc>
          <w:tcPr>
            <w:tcW w:w="4715" w:type="dxa"/>
            <w:tcBorders>
              <w:bottom w:val="single" w:sz="4" w:space="0" w:color="000000"/>
              <w:right w:val="single" w:sz="4" w:space="0" w:color="000000"/>
            </w:tcBorders>
            <w:shd w:color="auto" w:fill="auto" w:val="clear"/>
            <w:vAlign w:val="center"/>
          </w:tcPr>
          <w:p>
            <w:pPr>
              <w:pStyle w:val="Normal"/>
              <w:spacing w:lineRule="auto" w:line="276"/>
              <w:jc w:val="both"/>
              <w:rPr>
                <w:lang w:val="uk-UA"/>
              </w:rPr>
            </w:pPr>
            <w:r>
              <w:rPr>
                <w:rFonts w:ascii="Times New Roman" w:hAnsi="Times New Roman"/>
                <w:lang w:val="uk-UA"/>
              </w:rPr>
              <w:t>Коефіцієнт абсолютної ліквідності</w:t>
            </w:r>
          </w:p>
          <w:p>
            <w:pPr>
              <w:pStyle w:val="Normal"/>
              <w:spacing w:lineRule="auto" w:line="276" w:before="0" w:after="200"/>
              <w:jc w:val="both"/>
              <w:rPr>
                <w:lang w:val="uk-UA"/>
              </w:rPr>
            </w:pPr>
            <w:r>
              <w:rPr>
                <w:rFonts w:ascii="Times New Roman" w:hAnsi="Times New Roman"/>
                <w:lang w:val="uk-UA"/>
              </w:rPr>
              <w:t>(грошові кошти (А1165)  + короткострокові фінансові вкладення (А1160)) / поточні зобов'язання (П1695)</w:t>
            </w:r>
          </w:p>
        </w:tc>
        <w:tc>
          <w:tcPr>
            <w:tcW w:w="1512" w:type="dxa"/>
            <w:tcBorders>
              <w:bottom w:val="single" w:sz="4" w:space="0" w:color="000000"/>
              <w:right w:val="single" w:sz="4" w:space="0" w:color="000000"/>
            </w:tcBorders>
            <w:shd w:color="auto" w:fill="auto" w:val="clear"/>
            <w:vAlign w:val="center"/>
          </w:tcPr>
          <w:p>
            <w:pPr>
              <w:pStyle w:val="Normal"/>
              <w:spacing w:lineRule="auto" w:line="276" w:before="0" w:after="200"/>
              <w:jc w:val="center"/>
              <w:rPr>
                <w:lang w:val="uk-UA"/>
              </w:rPr>
            </w:pPr>
            <w:r>
              <w:rPr>
                <w:rFonts w:ascii="Times New Roman" w:hAnsi="Times New Roman"/>
                <w:lang w:val="uk-UA"/>
              </w:rPr>
              <w:t>&gt;0,2</w:t>
            </w:r>
          </w:p>
        </w:tc>
        <w:tc>
          <w:tcPr>
            <w:tcW w:w="1417" w:type="dxa"/>
            <w:tcBorders>
              <w:bottom w:val="single" w:sz="4" w:space="0" w:color="000000"/>
              <w:right w:val="single" w:sz="4" w:space="0" w:color="000000"/>
            </w:tcBorders>
            <w:shd w:color="auto" w:fill="auto" w:val="clear"/>
            <w:vAlign w:val="center"/>
          </w:tcPr>
          <w:p>
            <w:pPr>
              <w:pStyle w:val="Normal"/>
              <w:spacing w:lineRule="auto" w:line="276" w:before="0" w:after="200"/>
              <w:jc w:val="center"/>
              <w:rPr>
                <w:lang w:val="uk-UA"/>
              </w:rPr>
            </w:pPr>
            <w:r>
              <w:rPr>
                <w:rFonts w:eastAsia="Times New Roman" w:cs="Times New Roman" w:ascii="Times New Roman" w:hAnsi="Times New Roman"/>
                <w:sz w:val="24"/>
                <w:szCs w:val="24"/>
                <w:lang w:val="ru-RU" w:eastAsia="ru-RU"/>
              </w:rPr>
              <w:t>0,07</w:t>
            </w:r>
          </w:p>
        </w:tc>
        <w:tc>
          <w:tcPr>
            <w:tcW w:w="1416" w:type="dxa"/>
            <w:tcBorders>
              <w:bottom w:val="single" w:sz="4" w:space="0" w:color="000000"/>
              <w:right w:val="single" w:sz="4" w:space="0" w:color="000000"/>
            </w:tcBorders>
            <w:shd w:color="auto" w:fill="auto" w:val="clear"/>
            <w:vAlign w:val="center"/>
          </w:tcPr>
          <w:p>
            <w:pPr>
              <w:pStyle w:val="Normal"/>
              <w:spacing w:lineRule="auto" w:line="276" w:before="0" w:after="200"/>
              <w:jc w:val="center"/>
              <w:rPr>
                <w:lang w:val="uk-UA"/>
              </w:rPr>
            </w:pPr>
            <w:r>
              <w:rPr>
                <w:rFonts w:eastAsia="Times New Roman" w:cs="Times New Roman" w:ascii="Times New Roman" w:hAnsi="Times New Roman"/>
                <w:sz w:val="24"/>
                <w:szCs w:val="24"/>
                <w:lang w:val="ru-RU" w:eastAsia="ru-RU"/>
              </w:rPr>
              <w:t>0,08</w:t>
            </w:r>
          </w:p>
        </w:tc>
      </w:tr>
    </w:tbl>
    <w:p>
      <w:pPr>
        <w:pStyle w:val="Normal"/>
        <w:spacing w:lineRule="auto" w:line="276" w:before="120" w:after="120"/>
        <w:jc w:val="both"/>
        <w:textAlignment w:val="baseline"/>
        <w:rPr>
          <w:lang w:val="uk-UA"/>
        </w:rPr>
      </w:pPr>
      <w:r>
        <w:rPr>
          <w:rFonts w:ascii="Times New Roman" w:hAnsi="Times New Roman"/>
          <w:lang w:val="uk-UA"/>
        </w:rPr>
        <w:t>За результатами проведеного аналізу можна зробити висновок, що всі розраховані показники ліквідності Підприємства значно нижче нормативних та мали тенденцію до погіршення у звітному році. Зниження ліквідності Підприємства в динаміці свідчить про погіршення ситуації із забезпеченістю оборотними засобами.</w:t>
      </w:r>
    </w:p>
    <w:p>
      <w:pPr>
        <w:pStyle w:val="Normal"/>
        <w:spacing w:before="120" w:after="120"/>
        <w:jc w:val="both"/>
        <w:rPr>
          <w:lang w:val="uk-UA"/>
        </w:rPr>
      </w:pPr>
      <w:r>
        <w:rPr>
          <w:rFonts w:ascii="Times New Roman" w:hAnsi="Times New Roman"/>
          <w:lang w:val="uk-UA"/>
        </w:rPr>
        <w:t>Загальний коефіцієнт ліквідності (покриття) свідчить про недостатність оборотних засобів для погашення поточних зобов’язань та низький рівень платоспроможності Підприємства.</w:t>
      </w:r>
    </w:p>
    <w:p>
      <w:pPr>
        <w:pStyle w:val="Normal"/>
        <w:spacing w:before="120" w:after="120"/>
        <w:jc w:val="both"/>
        <w:rPr>
          <w:lang w:val="uk-UA"/>
        </w:rPr>
      </w:pPr>
      <w:r>
        <w:rPr>
          <w:rFonts w:ascii="Times New Roman" w:hAnsi="Times New Roman"/>
          <w:lang w:val="uk-UA"/>
        </w:rPr>
        <w:t>Коефіцієнт поточної ліквідності характеризує неспроможність Підприємства погасити короткострокові зобов’язання при швидкій мобілізації дебіторської заборгованості.</w:t>
      </w:r>
    </w:p>
    <w:p>
      <w:pPr>
        <w:pStyle w:val="Normal"/>
        <w:spacing w:before="120" w:after="120"/>
        <w:jc w:val="both"/>
        <w:rPr>
          <w:lang w:val="uk-UA"/>
        </w:rPr>
      </w:pPr>
      <w:r>
        <w:rPr>
          <w:rFonts w:ascii="Times New Roman" w:hAnsi="Times New Roman"/>
          <w:lang w:val="uk-UA"/>
        </w:rPr>
        <w:t>Значення коефіцієнту абсолютної ліквідності свідчить про нездатність Підприємства швидко розрахуватися зі своїми поточними зобов’язаннями за рахунок грошових коштів, їх еквівалентів та поточних фінансових інвестицій.</w:t>
      </w:r>
    </w:p>
    <w:p>
      <w:pPr>
        <w:pStyle w:val="Normal"/>
        <w:spacing w:before="120" w:after="120"/>
        <w:jc w:val="both"/>
        <w:rPr>
          <w:lang w:val="uk-UA"/>
        </w:rPr>
      </w:pPr>
      <w:r>
        <w:rPr>
          <w:rFonts w:ascii="Times New Roman" w:hAnsi="Times New Roman"/>
          <w:lang w:val="uk-UA"/>
        </w:rPr>
        <w:t>Коефіцієнт автономії має негативне значення і свідчить про те, що власних коштів в загальних джерелах Підприємство не має, тобто фінансову діяльність Підприємство здійснює за рахунок залучених коштів.</w:t>
      </w:r>
    </w:p>
    <w:p>
      <w:pPr>
        <w:pStyle w:val="Normal"/>
        <w:spacing w:before="120" w:after="120"/>
        <w:jc w:val="both"/>
        <w:rPr>
          <w:lang w:val="uk-UA"/>
        </w:rPr>
      </w:pPr>
      <w:r>
        <w:rPr>
          <w:rFonts w:ascii="Times New Roman" w:hAnsi="Times New Roman"/>
          <w:lang w:val="uk-UA"/>
        </w:rPr>
        <w:t xml:space="preserve">Аналіз показників ліквідності показав, що </w:t>
      </w:r>
      <w:r>
        <w:rPr>
          <w:rFonts w:ascii="Times New Roman" w:hAnsi="Times New Roman"/>
          <w:lang w:val="uk-UA"/>
        </w:rPr>
        <w:t>підприємство</w:t>
      </w:r>
      <w:r>
        <w:rPr>
          <w:rFonts w:ascii="Times New Roman" w:hAnsi="Times New Roman"/>
          <w:lang w:val="uk-UA"/>
        </w:rPr>
        <w:t xml:space="preserve"> має низький рівень платоспроможності. Рівень фінансового ризику (в аспекті ліквідності), пов’язаного з фінансового-господарською діяльністю </w:t>
      </w:r>
      <w:r>
        <w:rPr>
          <w:rFonts w:ascii="Times New Roman" w:hAnsi="Times New Roman"/>
          <w:lang w:val="uk-UA"/>
        </w:rPr>
        <w:t>підприємтсва</w:t>
      </w:r>
      <w:r>
        <w:rPr>
          <w:rFonts w:ascii="Times New Roman" w:hAnsi="Times New Roman"/>
          <w:lang w:val="uk-UA"/>
        </w:rPr>
        <w:t>, може бути визначений як високий.</w:t>
      </w:r>
    </w:p>
    <w:p>
      <w:pPr>
        <w:pStyle w:val="Normal"/>
        <w:spacing w:lineRule="auto" w:line="276" w:before="120" w:after="120"/>
        <w:jc w:val="both"/>
        <w:rPr>
          <w:lang w:val="uk-UA"/>
        </w:rPr>
      </w:pPr>
      <w:r>
        <w:rPr>
          <w:rFonts w:ascii="Times New Roman" w:hAnsi="Times New Roman"/>
          <w:lang w:val="uk-UA"/>
        </w:rPr>
        <w:t xml:space="preserve">Показники ліквідності та фінансової незалежності характеризують , що </w:t>
      </w:r>
      <w:r>
        <w:rPr>
          <w:rFonts w:ascii="Times New Roman" w:hAnsi="Times New Roman"/>
          <w:lang w:val="uk-UA"/>
        </w:rPr>
        <w:t xml:space="preserve">підприємтсво </w:t>
      </w:r>
      <w:r>
        <w:rPr>
          <w:rFonts w:ascii="Times New Roman" w:hAnsi="Times New Roman"/>
          <w:lang w:val="uk-UA"/>
        </w:rPr>
        <w:t>станом на 31.12.20</w:t>
      </w:r>
      <w:r>
        <w:rPr>
          <w:rFonts w:eastAsia="Times New Roman" w:cs="Times New Roman" w:ascii="Times New Roman" w:hAnsi="Times New Roman"/>
          <w:sz w:val="24"/>
          <w:szCs w:val="24"/>
          <w:lang w:val="uk-UA" w:eastAsia="ru-RU"/>
        </w:rPr>
        <w:t>20</w:t>
      </w:r>
      <w:r>
        <w:rPr>
          <w:rFonts w:ascii="Times New Roman" w:hAnsi="Times New Roman"/>
          <w:lang w:val="uk-UA"/>
        </w:rPr>
        <w:t xml:space="preserve"> має кризовий фінансовий стан, фінансово-господарська діяльність здійснюється цілком за рахунок залучених коштів. Усі активи _при реалізації не покриють усі зобов’язання Підприємства.</w:t>
      </w:r>
    </w:p>
    <w:p>
      <w:pPr>
        <w:pStyle w:val="Normal"/>
        <w:spacing w:before="120" w:after="120"/>
        <w:jc w:val="both"/>
        <w:rPr>
          <w:lang w:val="uk-UA"/>
        </w:rPr>
      </w:pPr>
      <w:r>
        <w:rPr>
          <w:rFonts w:ascii="Times New Roman" w:hAnsi="Times New Roman"/>
          <w:lang w:val="uk-UA"/>
        </w:rPr>
        <w:t>Оскільки Підприємство протягом 201</w:t>
      </w:r>
      <w:r>
        <w:rPr>
          <w:rFonts w:ascii="Times New Roman" w:hAnsi="Times New Roman"/>
          <w:lang w:val="uk-UA"/>
        </w:rPr>
        <w:t>9</w:t>
      </w:r>
      <w:r>
        <w:rPr>
          <w:rFonts w:ascii="Times New Roman" w:hAnsi="Times New Roman"/>
          <w:lang w:val="uk-UA"/>
        </w:rPr>
        <w:t xml:space="preserve"> та 20</w:t>
      </w:r>
      <w:r>
        <w:rPr>
          <w:rFonts w:eastAsia="Times New Roman" w:cs="Times New Roman" w:ascii="Times New Roman" w:hAnsi="Times New Roman"/>
          <w:sz w:val="24"/>
          <w:szCs w:val="24"/>
          <w:lang w:val="uk-UA" w:eastAsia="ru-RU"/>
        </w:rPr>
        <w:t>20</w:t>
      </w:r>
      <w:r>
        <w:rPr>
          <w:rFonts w:ascii="Times New Roman" w:hAnsi="Times New Roman"/>
          <w:lang w:val="uk-UA"/>
        </w:rPr>
        <w:t xml:space="preserve">років не мало прибутку та власних коштів, всі коефіцієнти рентабельності мають негативне значення. </w:t>
      </w:r>
    </w:p>
    <w:p>
      <w:pPr>
        <w:pStyle w:val="Normal"/>
        <w:spacing w:lineRule="auto" w:line="276" w:before="120" w:after="120"/>
        <w:ind w:firstLine="708"/>
        <w:jc w:val="both"/>
        <w:rPr>
          <w:lang w:val="uk-UA"/>
        </w:rPr>
      </w:pPr>
      <w:r>
        <w:rPr/>
      </w:r>
    </w:p>
    <w:p>
      <w:pPr>
        <w:pStyle w:val="Normal"/>
        <w:suppressAutoHyphens w:val="true"/>
        <w:spacing w:before="0" w:after="0"/>
        <w:ind w:right="302" w:hanging="0"/>
        <w:jc w:val="center"/>
        <w:rPr>
          <w:rFonts w:ascii="Times New Roman" w:hAnsi="Times New Roman" w:eastAsia="Times New Roman" w:cs="Times New Roman"/>
          <w:b/>
          <w:b/>
          <w:sz w:val="32"/>
          <w:szCs w:val="32"/>
          <w:lang w:val="uk-UA" w:eastAsia="ar-SA"/>
        </w:rPr>
      </w:pPr>
      <w:r>
        <w:rPr>
          <w:rFonts w:eastAsia="Times New Roman" w:cs="Times New Roman" w:ascii="Times New Roman" w:hAnsi="Times New Roman"/>
          <w:b/>
          <w:sz w:val="32"/>
          <w:szCs w:val="32"/>
          <w:lang w:val="uk-UA" w:eastAsia="ar-SA"/>
        </w:rPr>
        <w:t>Довкілля (екологічні аспекти)</w:t>
      </w:r>
    </w:p>
    <w:p>
      <w:pPr>
        <w:pStyle w:val="NoSpacing"/>
        <w:spacing w:lineRule="auto" w:line="276"/>
        <w:ind w:firstLine="708"/>
        <w:jc w:val="both"/>
        <w:rPr>
          <w:rFonts w:ascii="Times New Roman" w:hAnsi="Times New Roman" w:cs="Times New Roman"/>
          <w:sz w:val="24"/>
          <w:szCs w:val="24"/>
          <w:lang w:val="uk-UA"/>
        </w:rPr>
      </w:pPr>
      <w:r>
        <w:rPr>
          <w:rFonts w:cs="Times New Roman" w:ascii="Times New Roman" w:hAnsi="Times New Roman"/>
          <w:sz w:val="24"/>
          <w:szCs w:val="24"/>
          <w:lang w:val="uk-UA"/>
        </w:rPr>
        <w:t>Раціональне використання води.</w:t>
      </w:r>
    </w:p>
    <w:p>
      <w:pPr>
        <w:pStyle w:val="NoSpacing"/>
        <w:spacing w:lineRule="auto" w:line="276"/>
        <w:ind w:firstLine="708"/>
        <w:jc w:val="both"/>
        <w:rPr>
          <w:rFonts w:ascii="Times New Roman" w:hAnsi="Times New Roman" w:cs="Times New Roman"/>
          <w:sz w:val="24"/>
          <w:szCs w:val="24"/>
          <w:lang w:val="uk-UA"/>
        </w:rPr>
      </w:pPr>
      <w:r>
        <w:rPr>
          <w:rFonts w:cs="Times New Roman" w:ascii="Times New Roman" w:hAnsi="Times New Roman"/>
          <w:sz w:val="24"/>
          <w:szCs w:val="24"/>
          <w:lang w:val="uk-UA"/>
        </w:rPr>
        <w:t>КП «ТЖКП» здійснює поставку питної води населенню та підприємствам м. Тернівка. Джерелом водопостачання є ДМП ВКГ «Дніпро-Західний Донбас» і мережі ПРУВОКС ПАТ «ДТЕК ПАВЛОГРАДВУГІЛЛЯ» для Тернівських очисних споруд.</w:t>
      </w:r>
    </w:p>
    <w:p>
      <w:pPr>
        <w:pStyle w:val="NoSpacing"/>
        <w:spacing w:lineRule="auto" w:line="276"/>
        <w:ind w:firstLine="708"/>
        <w:jc w:val="both"/>
        <w:rPr>
          <w:rFonts w:ascii="Times New Roman" w:hAnsi="Times New Roman" w:cs="Times New Roman"/>
          <w:sz w:val="24"/>
          <w:szCs w:val="24"/>
          <w:lang w:val="uk-UA"/>
        </w:rPr>
      </w:pPr>
      <w:r>
        <w:rPr>
          <w:rFonts w:cs="Times New Roman" w:ascii="Times New Roman" w:hAnsi="Times New Roman"/>
          <w:sz w:val="24"/>
          <w:szCs w:val="24"/>
          <w:lang w:val="uk-UA"/>
        </w:rPr>
        <w:t>Облік поверхневої води, що поступає на м. Тернівка ведеться за допомогою двох витратомірних комплексів ІРКА, які встановлені на межі балансового розмежування. ЦРП м. Терніввка забезпечує транспортування питної води населенню та підприємствам.</w:t>
      </w:r>
    </w:p>
    <w:p>
      <w:pPr>
        <w:pStyle w:val="NoSpacing"/>
        <w:spacing w:lineRule="auto" w:line="276"/>
        <w:jc w:val="both"/>
        <w:rPr>
          <w:rFonts w:ascii="Times New Roman" w:hAnsi="Times New Roman" w:cs="Times New Roman"/>
          <w:sz w:val="24"/>
          <w:szCs w:val="24"/>
          <w:lang w:val="uk-UA"/>
        </w:rPr>
      </w:pPr>
      <w:r>
        <w:rPr>
          <w:rFonts w:cs="Times New Roman" w:ascii="Times New Roman" w:hAnsi="Times New Roman"/>
          <w:sz w:val="24"/>
          <w:szCs w:val="24"/>
          <w:lang w:val="uk-UA"/>
        </w:rPr>
        <w:t>КП «ТЖКП» здійснює діяльність на підставі Ліцензії на провадження господарської діяльності з централізованого водопостачання та водовідведення (Серія АВ № 601266) та Дозволу на спеціальне водокористування №33/ДП/49д-17.</w:t>
      </w:r>
    </w:p>
    <w:p>
      <w:pPr>
        <w:pStyle w:val="NoSpacing"/>
        <w:spacing w:lineRule="auto" w:line="276"/>
        <w:ind w:firstLine="708"/>
        <w:jc w:val="both"/>
        <w:rPr>
          <w:rFonts w:ascii="Times New Roman" w:hAnsi="Times New Roman" w:cs="Times New Roman"/>
          <w:sz w:val="24"/>
          <w:szCs w:val="24"/>
          <w:lang w:val="uk-UA"/>
        </w:rPr>
      </w:pPr>
      <w:r>
        <w:rPr>
          <w:rFonts w:cs="Times New Roman" w:ascii="Times New Roman" w:hAnsi="Times New Roman"/>
          <w:sz w:val="24"/>
          <w:szCs w:val="24"/>
          <w:lang w:val="uk-UA"/>
        </w:rPr>
        <w:t>На підприємстві розроблені: «Поточні індивідуальні технологічні нормативи використання питної води», які погоджені Департаментом екології та природних ресурсів Дніпропетровської облдержадміністрації та Дніпропетровським обласним управлінням водних ресурсів; «Проект нормативів ГДС», узгоджений Головним управлінням Держпродспоживслужби в Дніпропетровський області та затверджений Департаментом екології та природних ресурсів Дніпропетровської облдержадміністрації.</w:t>
      </w:r>
    </w:p>
    <w:p>
      <w:pPr>
        <w:pStyle w:val="NoSpacing"/>
        <w:spacing w:lineRule="auto" w:line="276"/>
        <w:ind w:firstLine="708"/>
        <w:jc w:val="both"/>
        <w:rPr>
          <w:rFonts w:ascii="Times New Roman" w:hAnsi="Times New Roman" w:cs="Times New Roman"/>
          <w:sz w:val="24"/>
          <w:szCs w:val="24"/>
          <w:lang w:val="uk-UA"/>
        </w:rPr>
      </w:pPr>
      <w:r>
        <w:rPr>
          <w:rFonts w:cs="Times New Roman" w:ascii="Times New Roman" w:hAnsi="Times New Roman"/>
          <w:sz w:val="24"/>
          <w:szCs w:val="24"/>
          <w:lang w:val="uk-UA"/>
        </w:rPr>
        <w:t>КП «ТЖКП» звітує за формою №2ТП-водгосп у РОВР у Дніпропетровській області.</w:t>
      </w:r>
    </w:p>
    <w:p>
      <w:pPr>
        <w:pStyle w:val="NoSpacing"/>
        <w:spacing w:lineRule="auto" w:line="276"/>
        <w:ind w:firstLine="708"/>
        <w:jc w:val="both"/>
        <w:rPr>
          <w:rFonts w:ascii="Times New Roman" w:hAnsi="Times New Roman" w:cs="Times New Roman"/>
          <w:sz w:val="24"/>
          <w:szCs w:val="24"/>
          <w:lang w:val="uk-UA"/>
        </w:rPr>
      </w:pPr>
      <w:r>
        <w:rPr>
          <w:rFonts w:cs="Times New Roman" w:ascii="Times New Roman" w:hAnsi="Times New Roman"/>
          <w:sz w:val="24"/>
          <w:szCs w:val="24"/>
          <w:lang w:val="uk-UA"/>
        </w:rPr>
        <w:t>Управління відходами.</w:t>
      </w:r>
    </w:p>
    <w:p>
      <w:pPr>
        <w:pStyle w:val="NoSpacing"/>
        <w:spacing w:lineRule="auto" w:line="276"/>
        <w:ind w:firstLine="708"/>
        <w:jc w:val="both"/>
        <w:rPr>
          <w:rFonts w:ascii="Times New Roman" w:hAnsi="Times New Roman" w:cs="Times New Roman"/>
          <w:sz w:val="24"/>
          <w:szCs w:val="24"/>
          <w:lang w:val="uk-UA"/>
        </w:rPr>
      </w:pPr>
      <w:r>
        <w:rPr>
          <w:rFonts w:cs="Times New Roman" w:ascii="Times New Roman" w:hAnsi="Times New Roman"/>
          <w:sz w:val="24"/>
          <w:szCs w:val="24"/>
          <w:lang w:val="uk-UA"/>
        </w:rPr>
        <w:t>На підприємстві проведено Інвентаризацію джерел утворення відходів результати якої взяті на облік  Департаментом екології та природних ресурсів Дніпропетровської облдержадміністрації. Ведеться звіт за формою №1-ВТ «Облік відходів та пакувальних матеріалів і тари». Підприємство звітує за формою №1-відходи до органу Держстату. Обладнані місця тимчасового збереження відходів у відповідності з діючими санітарними нормами поводження з відходами. Здійснюється постійний контроль за станом місць тимчасового зберігання відходів. Відходи, що утворюються на підприємстві передаються згідно укладених договорів спеціалізованим організаціям, які мають необхідні ліцензії в сфері поводження з відходами на збирання, перевезення, утилізацію відходів.</w:t>
      </w:r>
    </w:p>
    <w:p>
      <w:pPr>
        <w:pStyle w:val="NoSpacing"/>
        <w:spacing w:lineRule="auto" w:line="276"/>
        <w:ind w:firstLine="708"/>
        <w:jc w:val="both"/>
        <w:rPr>
          <w:rFonts w:ascii="Times New Roman" w:hAnsi="Times New Roman" w:eastAsia="Andale Sans UI" w:cs="Times New Roman"/>
          <w:kern w:val="2"/>
          <w:sz w:val="24"/>
          <w:szCs w:val="24"/>
          <w:lang w:val="uk-UA"/>
        </w:rPr>
      </w:pPr>
      <w:r>
        <w:rPr>
          <w:rFonts w:eastAsia="Andale Sans UI" w:cs="Times New Roman" w:ascii="Times New Roman" w:hAnsi="Times New Roman"/>
          <w:kern w:val="2"/>
          <w:sz w:val="24"/>
          <w:szCs w:val="24"/>
          <w:lang w:val="uk-UA"/>
        </w:rPr>
        <w:t>КП «ТЖКП» здійснює діяльність пов'язану з вивезенням побутових відходів на підставі Рішення виконавчого комітету Тернівської міської ради №140 від 28.03.2007року «Про визначення виконавців житлово-комунальних послуг у житловому фонді».</w:t>
      </w:r>
    </w:p>
    <w:p>
      <w:pPr>
        <w:pStyle w:val="NoSpacing"/>
        <w:spacing w:lineRule="auto" w:line="276"/>
        <w:ind w:firstLine="708"/>
        <w:jc w:val="both"/>
        <w:rPr>
          <w:rFonts w:ascii="Times New Roman" w:hAnsi="Times New Roman" w:eastAsia="Andale Sans UI" w:cs="Times New Roman"/>
          <w:kern w:val="2"/>
          <w:sz w:val="24"/>
          <w:szCs w:val="24"/>
          <w:lang w:val="uk-UA"/>
        </w:rPr>
      </w:pPr>
      <w:r>
        <w:rPr>
          <w:rFonts w:eastAsia="Andale Sans UI" w:cs="Times New Roman" w:ascii="Times New Roman" w:hAnsi="Times New Roman"/>
          <w:kern w:val="2"/>
          <w:sz w:val="24"/>
          <w:szCs w:val="24"/>
          <w:lang w:val="uk-UA"/>
        </w:rPr>
        <w:t>Викиди.</w:t>
      </w:r>
    </w:p>
    <w:p>
      <w:pPr>
        <w:pStyle w:val="NoSpacing"/>
        <w:spacing w:lineRule="auto" w:line="276"/>
        <w:jc w:val="both"/>
        <w:rPr>
          <w:rFonts w:ascii="Times New Roman" w:hAnsi="Times New Roman" w:eastAsia="Andale Sans UI" w:cs="Times New Roman"/>
          <w:kern w:val="2"/>
          <w:sz w:val="24"/>
          <w:szCs w:val="24"/>
          <w:lang w:val="uk-UA"/>
        </w:rPr>
      </w:pPr>
      <w:r>
        <w:rPr>
          <w:rFonts w:eastAsia="Andale Sans UI" w:cs="Times New Roman" w:ascii="Times New Roman" w:hAnsi="Times New Roman"/>
          <w:kern w:val="2"/>
          <w:sz w:val="24"/>
          <w:szCs w:val="24"/>
          <w:lang w:val="uk-UA"/>
        </w:rPr>
        <w:t>КП «ТЖКП» здійснює виробництво теплової енергії для житлових і господарських будівель м. Тернівка. Котельня виробляє теплову енергію за рахунок спалювання в котлах твердого палива, що поставляється з шахт Павлоградського регіону. В котельні встановлено шість парових котлів: три котла типу КЕ-10/14С та три котла типу КЕ-25/14С. Димові гази видаляються через цеглову трубу висотою 100 м, діаметром основою 8,7 м, діаметром устя 1 м. Підприємством щорічно здійснюється контроль викидів забруднюючих речовин від котельні шляхом проведення інструментальних вимірів на джерелі.</w:t>
      </w:r>
    </w:p>
    <w:p>
      <w:pPr>
        <w:pStyle w:val="NoSpacing"/>
        <w:spacing w:lineRule="auto" w:line="276"/>
        <w:jc w:val="both"/>
        <w:rPr>
          <w:rFonts w:ascii="Times New Roman" w:hAnsi="Times New Roman" w:eastAsia="Andale Sans UI" w:cs="Times New Roman"/>
          <w:kern w:val="2"/>
          <w:sz w:val="24"/>
          <w:szCs w:val="24"/>
          <w:lang w:val="uk-UA"/>
        </w:rPr>
      </w:pPr>
      <w:r>
        <w:rPr>
          <w:rFonts w:eastAsia="Andale Sans UI" w:cs="Times New Roman" w:ascii="Times New Roman" w:hAnsi="Times New Roman"/>
          <w:kern w:val="2"/>
          <w:sz w:val="24"/>
          <w:szCs w:val="24"/>
          <w:lang w:val="uk-UA"/>
        </w:rPr>
        <w:t>КП «ТЖКП» проведено інвентаризацію викидів забруднюючих речовин від стаціонарних джерел. Розроблено документи, у яких обґрунтовуються обсяги викидів та отримано дозволи на викиди забруднюючих речовин в атмосферне повітря стаціонарними джерелами: № 1223500000-58; № 1223500000-59; № 1223500000-60; №1223500000-61.</w:t>
      </w:r>
    </w:p>
    <w:p>
      <w:pPr>
        <w:pStyle w:val="NoSpacing"/>
        <w:spacing w:lineRule="auto" w:line="276"/>
        <w:ind w:firstLine="708"/>
        <w:jc w:val="both"/>
        <w:rPr>
          <w:rFonts w:ascii="Times New Roman" w:hAnsi="Times New Roman" w:eastAsia="Andale Sans UI" w:cs="Times New Roman"/>
          <w:kern w:val="2"/>
          <w:sz w:val="24"/>
          <w:szCs w:val="24"/>
          <w:lang w:val="uk-UA"/>
        </w:rPr>
      </w:pPr>
      <w:r>
        <w:rPr>
          <w:rFonts w:eastAsia="Andale Sans UI" w:cs="Times New Roman" w:ascii="Times New Roman" w:hAnsi="Times New Roman"/>
          <w:color w:val="000000"/>
          <w:kern w:val="2"/>
          <w:sz w:val="24"/>
          <w:szCs w:val="24"/>
          <w:lang w:val="uk-UA"/>
        </w:rPr>
        <w:t>Підприємство звітує за формою №2ТП-повітря до органу Держстату та «Екологічний податок» до органу ДФС.</w:t>
      </w:r>
    </w:p>
    <w:p>
      <w:pPr>
        <w:pStyle w:val="Normal"/>
        <w:suppressAutoHyphens w:val="true"/>
        <w:spacing w:before="0" w:after="0"/>
        <w:ind w:right="302" w:hanging="0"/>
        <w:jc w:val="center"/>
        <w:rPr>
          <w:rFonts w:ascii="Times New Roman" w:hAnsi="Times New Roman" w:eastAsia="Times New Roman" w:cs="Times New Roman"/>
          <w:b/>
          <w:b/>
          <w:sz w:val="32"/>
          <w:szCs w:val="32"/>
          <w:lang w:val="uk-UA" w:eastAsia="ar-SA"/>
        </w:rPr>
      </w:pPr>
      <w:r>
        <w:rPr>
          <w:rFonts w:eastAsia="Times New Roman" w:cs="Times New Roman" w:ascii="Times New Roman" w:hAnsi="Times New Roman"/>
          <w:b/>
          <w:sz w:val="32"/>
          <w:szCs w:val="32"/>
          <w:lang w:val="uk-UA" w:eastAsia="ar-SA"/>
        </w:rPr>
        <w:t>Кадрова політика та соціальні аспекти</w:t>
      </w:r>
    </w:p>
    <w:p>
      <w:pPr>
        <w:pStyle w:val="NoSpacing"/>
        <w:spacing w:lineRule="auto" w:line="276"/>
        <w:ind w:firstLine="708"/>
        <w:jc w:val="both"/>
        <w:rPr>
          <w:rFonts w:ascii="Times New Roman" w:hAnsi="Times New Roman" w:cs="Times New Roman"/>
          <w:bCs/>
          <w:sz w:val="24"/>
          <w:szCs w:val="24"/>
          <w:lang w:val="uk-UA"/>
        </w:rPr>
      </w:pPr>
      <w:r>
        <w:rPr>
          <w:rFonts w:cs="Times New Roman" w:ascii="Times New Roman" w:hAnsi="Times New Roman"/>
          <w:sz w:val="24"/>
          <w:szCs w:val="24"/>
          <w:lang w:val="uk-UA"/>
        </w:rPr>
        <w:t xml:space="preserve">Витрати на оплату праці розраховуються на підставі затвердженого штатного розкладу та Колективного договору </w:t>
      </w:r>
      <w:r>
        <w:rPr>
          <w:rFonts w:cs="Times New Roman" w:ascii="Times New Roman" w:hAnsi="Times New Roman"/>
          <w:bCs/>
          <w:sz w:val="24"/>
          <w:szCs w:val="24"/>
          <w:lang w:val="uk-UA"/>
        </w:rPr>
        <w:t>КП «Тернівське житлово-комунальне підприємство».</w:t>
      </w:r>
    </w:p>
    <w:p>
      <w:pPr>
        <w:pStyle w:val="NoSpacing"/>
        <w:spacing w:lineRule="auto" w:line="276"/>
        <w:ind w:firstLine="708"/>
        <w:jc w:val="both"/>
        <w:rPr>
          <w:rFonts w:ascii="Times New Roman" w:hAnsi="Times New Roman" w:cs="Times New Roman"/>
          <w:sz w:val="24"/>
          <w:szCs w:val="24"/>
          <w:lang w:val="uk-UA"/>
        </w:rPr>
      </w:pPr>
      <w:r>
        <w:rPr>
          <w:rFonts w:cs="Times New Roman" w:ascii="Times New Roman" w:hAnsi="Times New Roman"/>
          <w:sz w:val="24"/>
          <w:szCs w:val="24"/>
          <w:lang w:val="uk-UA"/>
        </w:rPr>
        <w:t>Формування фонду оплати праці проводиться з урахуванням обсягів виробничої діяльності, діючих норм обслуговування, нормативів чисельності, продуктивності праці, індексу зростання цін, мінімальної заробітної плати, встановленої згідно діючого законодавства.</w:t>
      </w:r>
    </w:p>
    <w:p>
      <w:pPr>
        <w:pStyle w:val="NoSpacing"/>
        <w:spacing w:lineRule="auto" w:line="276"/>
        <w:ind w:firstLine="708"/>
        <w:jc w:val="both"/>
        <w:rPr>
          <w:rFonts w:ascii="Times New Roman" w:hAnsi="Times New Roman" w:cs="Times New Roman"/>
          <w:sz w:val="24"/>
          <w:szCs w:val="24"/>
          <w:lang w:val="uk-UA"/>
        </w:rPr>
      </w:pPr>
      <w:r>
        <w:rPr>
          <w:rFonts w:cs="Times New Roman" w:ascii="Times New Roman" w:hAnsi="Times New Roman"/>
          <w:sz w:val="24"/>
          <w:szCs w:val="24"/>
          <w:lang w:val="uk-UA"/>
        </w:rPr>
        <w:t>КП «ТЖКП» є багатопрофільним, до складу якого входять наступні виді діяльності: експлуатація котельні, теплових, електричних, водопровідних мереж, мереж водовідведення, вивезення твердих побутових відходів, благоустрій та озеленення міста, надання послуги з управлінням багато квартирним будинком, роботи з організації поховань, ремонтно-будівельні роботи, роботи з ремонту та утриманню доріг, служба з внутрішнього перевезення пасажирів автобусами, утримання парку культури та відпочинку, спортивно-оздоровчого комплексу. Тому при визначенні розмірів тарифних ставок і місячних посадових окладів працівників підприємства враховуються, як мінімальні соціальні гарантії, коефіцієнти співвідношень  на підставі «Територіальної угоди між департаментом житлово-комунального господарства та будівництва облдержадміністрації, обласною організацією роботодавців житлово-комунального господарства Дніпропетровської області і обласною організацією профспілки працівників житлово-комунального господарства, місцевої промисловості, побутового обслуговування населення на 2018-2019 роки» зі змінами та доповненнями.</w:t>
      </w:r>
    </w:p>
    <w:p>
      <w:pPr>
        <w:pStyle w:val="Normal"/>
        <w:suppressAutoHyphens w:val="true"/>
        <w:spacing w:before="0" w:after="0"/>
        <w:ind w:right="302" w:hanging="0"/>
        <w:jc w:val="center"/>
        <w:rPr>
          <w:rFonts w:ascii="Times New Roman" w:hAnsi="Times New Roman" w:eastAsia="Times New Roman" w:cs="Times New Roman"/>
          <w:b/>
          <w:b/>
          <w:sz w:val="32"/>
          <w:szCs w:val="32"/>
          <w:lang w:val="uk-UA" w:eastAsia="ar-SA"/>
        </w:rPr>
      </w:pPr>
      <w:r>
        <w:rPr>
          <w:rFonts w:eastAsia="Times New Roman" w:cs="Times New Roman" w:ascii="Times New Roman" w:hAnsi="Times New Roman"/>
          <w:b/>
          <w:sz w:val="32"/>
          <w:szCs w:val="32"/>
          <w:lang w:val="uk-UA" w:eastAsia="ar-SA"/>
        </w:rPr>
        <w:t>Дослідження та інновації</w:t>
      </w:r>
    </w:p>
    <w:p>
      <w:pPr>
        <w:pStyle w:val="Normal"/>
        <w:suppressAutoHyphens w:val="true"/>
        <w:spacing w:before="0" w:after="0"/>
        <w:ind w:right="-1" w:firstLine="708"/>
        <w:jc w:val="both"/>
        <w:rPr>
          <w:rFonts w:ascii="Times New Roman" w:hAnsi="Times New Roman" w:cs="Times New Roman"/>
          <w:sz w:val="24"/>
          <w:szCs w:val="24"/>
          <w:lang w:val="uk-UA"/>
        </w:rPr>
      </w:pPr>
      <w:r>
        <w:rPr>
          <w:rFonts w:cs="Times New Roman" w:ascii="Times New Roman" w:hAnsi="Times New Roman"/>
          <w:sz w:val="24"/>
          <w:szCs w:val="24"/>
          <w:lang w:val="uk-UA"/>
        </w:rPr>
        <w:t>В умовах ринкової економіки ефективний розвиток підприємства на тривалу перспективу можливий лише за врахуванням досягнень науково-технічного прогресу. Вміле використання усього потенціалу ЖКГ, раціональна організація та управління житлово-комунальними підприємствами (ЖКП) мають вирішальну роль, особливо в кризових умовах. Принципово нові інноваційні методи необхідні як у виробництві послуг, так і в управлінні підприємством загалом. КП «ТЖКП» намагається використовувати інноваційні стратегії, менеджмент та потенціал організації, що забезпечить стабільне функціонування підприємства в умовах динамічного економічного середовища. Якщо розуміти під стратегією довготермінове планування, то інноваційна стратегія має відношення до усієї тривалості процесу – від досліджень, виробництва і збуту до використання. Вона визначає темп підвищення технологічного рівня і пов’язаних з ним затрат розумової праці. Більш конкретно суть інноваційного менеджменту розкривається в його функціях, до яких належать:</w:t>
      </w:r>
    </w:p>
    <w:p>
      <w:pPr>
        <w:pStyle w:val="ListParagraph"/>
        <w:numPr>
          <w:ilvl w:val="0"/>
          <w:numId w:val="1"/>
        </w:numPr>
        <w:spacing w:lineRule="auto" w:line="276" w:before="120" w:after="0"/>
        <w:ind w:left="0" w:hanging="0"/>
        <w:contextualSpacing/>
        <w:jc w:val="both"/>
        <w:rPr>
          <w:sz w:val="24"/>
          <w:szCs w:val="24"/>
          <w:lang w:val="uk-UA"/>
        </w:rPr>
      </w:pPr>
      <w:r>
        <w:rPr>
          <w:sz w:val="24"/>
          <w:szCs w:val="24"/>
          <w:lang w:val="uk-UA"/>
        </w:rPr>
        <w:t>управління процесами створення нових знань;</w:t>
      </w:r>
    </w:p>
    <w:p>
      <w:pPr>
        <w:pStyle w:val="ListParagraph"/>
        <w:numPr>
          <w:ilvl w:val="0"/>
          <w:numId w:val="1"/>
        </w:numPr>
        <w:spacing w:lineRule="auto" w:line="276" w:before="120" w:after="0"/>
        <w:ind w:left="0" w:hanging="0"/>
        <w:contextualSpacing/>
        <w:jc w:val="both"/>
        <w:rPr>
          <w:sz w:val="24"/>
          <w:szCs w:val="24"/>
          <w:lang w:val="uk-UA"/>
        </w:rPr>
      </w:pPr>
      <w:r>
        <w:rPr>
          <w:sz w:val="24"/>
          <w:szCs w:val="24"/>
          <w:lang w:val="uk-UA"/>
        </w:rPr>
        <w:t>управління творчим потенціалом тих, хто створює нові знання;</w:t>
      </w:r>
    </w:p>
    <w:p>
      <w:pPr>
        <w:pStyle w:val="ListParagraph"/>
        <w:numPr>
          <w:ilvl w:val="0"/>
          <w:numId w:val="1"/>
        </w:numPr>
        <w:spacing w:lineRule="auto" w:line="276" w:before="120" w:after="0"/>
        <w:ind w:left="0" w:hanging="0"/>
        <w:contextualSpacing/>
        <w:jc w:val="both"/>
        <w:rPr>
          <w:sz w:val="24"/>
          <w:szCs w:val="24"/>
          <w:lang w:val="uk-UA"/>
        </w:rPr>
      </w:pPr>
      <w:r>
        <w:rPr>
          <w:sz w:val="24"/>
          <w:szCs w:val="24"/>
          <w:lang w:val="uk-UA"/>
        </w:rPr>
        <w:t>управління освоєнням нововведень;</w:t>
      </w:r>
    </w:p>
    <w:p>
      <w:pPr>
        <w:pStyle w:val="ListParagraph"/>
        <w:numPr>
          <w:ilvl w:val="0"/>
          <w:numId w:val="1"/>
        </w:numPr>
        <w:spacing w:lineRule="auto" w:line="276" w:before="120" w:after="0"/>
        <w:ind w:left="0" w:hanging="0"/>
        <w:contextualSpacing/>
        <w:jc w:val="both"/>
        <w:rPr>
          <w:sz w:val="24"/>
          <w:szCs w:val="24"/>
          <w:lang w:val="uk-UA"/>
        </w:rPr>
      </w:pPr>
      <w:r>
        <w:rPr>
          <w:sz w:val="24"/>
          <w:szCs w:val="24"/>
          <w:lang w:val="uk-UA"/>
        </w:rPr>
        <w:t>управління соціальними та психологічними аспектами нововведень.</w:t>
      </w:r>
    </w:p>
    <w:p>
      <w:pPr>
        <w:pStyle w:val="Normal"/>
        <w:suppressAutoHyphens w:val="true"/>
        <w:spacing w:before="0" w:after="0"/>
        <w:ind w:right="302" w:hanging="0"/>
        <w:jc w:val="center"/>
        <w:rPr>
          <w:rFonts w:ascii="Times New Roman" w:hAnsi="Times New Roman" w:eastAsia="Times New Roman" w:cs="Times New Roman"/>
          <w:b/>
          <w:b/>
          <w:sz w:val="32"/>
          <w:szCs w:val="32"/>
          <w:lang w:val="uk-UA" w:eastAsia="ar-SA"/>
        </w:rPr>
      </w:pPr>
      <w:r>
        <w:rPr>
          <w:rFonts w:eastAsia="Times New Roman" w:cs="Times New Roman" w:ascii="Times New Roman" w:hAnsi="Times New Roman"/>
          <w:b/>
          <w:sz w:val="32"/>
          <w:szCs w:val="32"/>
          <w:lang w:val="uk-UA" w:eastAsia="ar-SA"/>
        </w:rPr>
        <w:t>Фінансові інвестиції та перспективи розвитку</w:t>
      </w:r>
    </w:p>
    <w:p>
      <w:pPr>
        <w:pStyle w:val="Normal"/>
        <w:suppressAutoHyphens w:val="true"/>
        <w:spacing w:before="0" w:after="0"/>
        <w:ind w:right="-1" w:firstLine="708"/>
        <w:jc w:val="both"/>
        <w:rPr>
          <w:rFonts w:ascii="Times New Roman" w:hAnsi="Times New Roman" w:eastAsia="Times New Roman" w:cs="Times New Roman"/>
          <w:b/>
          <w:b/>
          <w:sz w:val="24"/>
          <w:szCs w:val="24"/>
          <w:lang w:val="uk-UA" w:eastAsia="ar-SA"/>
        </w:rPr>
      </w:pPr>
      <w:r>
        <w:rPr>
          <w:rFonts w:cs="Times New Roman" w:ascii="Times New Roman" w:hAnsi="Times New Roman"/>
          <w:sz w:val="24"/>
          <w:szCs w:val="24"/>
          <w:lang w:val="uk-UA"/>
        </w:rPr>
        <w:t>Розроблення та реалізація нових моделей функціонування ЖКГ потребує підтримки на державному рівні пропозицій з реформування та розвитку галузі, створення конкурентного середовища на ринку житлово-комунальних послуг, підвищення інвестиційної привабливості галузі. Саме держава може створити сприятливі умови для створення та ефективного функціонування інноваційної інфраструктури. У сфері ЖКГ України інновації повинні передусім застосовуватися для стимулювання ощадливого споживання енергоносіїв, у тому числі за рахунок запровадження диференційованих тарифів на послуги з теплопостачання та водопостачання, що надаються за нормами. Доцільним може бути створення галузевого інноваційного фонду у ЖКГ, кошти якого потрібно витрачати на оснащення житла засобами регулювання та обліку енергоносіїв, модернізацію підприємств. Важливим є також залучення інвестицій в підприємства ЖКГ. Тому потрібно проводити дослідження та розробки грамотних інвестиційних пропозицій та підвищувати інформованість потенційних інвесторів про умови ведення бізнесу в Україні та про можливість реалізації інвестиційних проектів в ЖКГ. Саме завдяки інноваціям в ЖКГ може бути досягнуто поліпшення стану довкілля, впровадження енергоощадних технологій та диверсифікація постачань енергоносіїв, оптимізація теплопостачання. Дуже перспективними є дослідження такої сфери комунального господарства, як переробка побутових відходів.</w:t>
      </w:r>
    </w:p>
    <w:p>
      <w:pPr>
        <w:pStyle w:val="Normal"/>
        <w:suppressAutoHyphens w:val="true"/>
        <w:spacing w:before="0" w:after="0"/>
        <w:ind w:right="302" w:hanging="0"/>
        <w:jc w:val="center"/>
        <w:rPr>
          <w:rFonts w:ascii="Times New Roman" w:hAnsi="Times New Roman" w:eastAsia="Times New Roman" w:cs="Times New Roman"/>
          <w:b/>
          <w:b/>
          <w:sz w:val="32"/>
          <w:szCs w:val="32"/>
          <w:lang w:val="uk-UA" w:eastAsia="ar-SA"/>
        </w:rPr>
      </w:pPr>
      <w:r>
        <w:rPr>
          <w:rFonts w:eastAsia="Times New Roman" w:cs="Times New Roman" w:ascii="Times New Roman" w:hAnsi="Times New Roman"/>
          <w:b/>
          <w:sz w:val="32"/>
          <w:szCs w:val="32"/>
          <w:lang w:val="uk-UA" w:eastAsia="ar-SA"/>
        </w:rPr>
        <w:t>Корпоративне управління</w:t>
      </w:r>
    </w:p>
    <w:p>
      <w:pPr>
        <w:pStyle w:val="Normal"/>
        <w:widowControl w:val="false"/>
        <w:shd w:val="clear" w:color="auto" w:fill="FFFFFF"/>
        <w:spacing w:before="0" w:after="0"/>
        <w:ind w:right="68" w:firstLine="605"/>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color w:val="000000"/>
          <w:sz w:val="24"/>
          <w:szCs w:val="24"/>
          <w:lang w:val="uk-UA" w:eastAsia="ru-RU"/>
        </w:rPr>
        <w:t>Комунальне підприємство «Тернівське житлово-комунальне підприємство» створено відповідно до Господарського Кодексу України, Закону України «Про місцеве самоврядування в Україні».</w:t>
      </w:r>
    </w:p>
    <w:p>
      <w:pPr>
        <w:pStyle w:val="Normal"/>
        <w:widowControl w:val="false"/>
        <w:shd w:val="clear" w:color="auto" w:fill="FFFFFF"/>
        <w:spacing w:before="0" w:after="0"/>
        <w:ind w:left="17" w:right="68" w:firstLine="584"/>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color w:val="000000"/>
          <w:sz w:val="24"/>
          <w:szCs w:val="24"/>
          <w:lang w:val="uk-UA" w:eastAsia="ru-RU"/>
        </w:rPr>
        <w:t xml:space="preserve">Підприємство засноване на комунальній власності територіальної громади м. Тернівка і знаходиться в управлінні Тернівської міської ради </w:t>
      </w:r>
    </w:p>
    <w:p>
      <w:pPr>
        <w:pStyle w:val="Normal"/>
        <w:widowControl w:val="false"/>
        <w:shd w:val="clear" w:color="auto" w:fill="FFFFFF"/>
        <w:spacing w:before="0" w:after="0"/>
        <w:ind w:left="17" w:right="68" w:firstLine="584"/>
        <w:jc w:val="both"/>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Власником підприємства є Тернівська міська рада.</w:t>
      </w:r>
    </w:p>
    <w:p>
      <w:pPr>
        <w:pStyle w:val="Normal"/>
        <w:suppressAutoHyphens w:val="true"/>
        <w:spacing w:before="0" w:after="0"/>
        <w:ind w:right="302" w:hanging="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bookmarkStart w:id="0" w:name="_GoBack"/>
      <w:bookmarkStart w:id="1" w:name="_GoBack"/>
      <w:bookmarkEnd w:id="1"/>
    </w:p>
    <w:p>
      <w:pPr>
        <w:pStyle w:val="Normal"/>
        <w:suppressAutoHyphens w:val="true"/>
        <w:spacing w:before="0" w:after="0"/>
        <w:ind w:right="302" w:hanging="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p>
      <w:pPr>
        <w:pStyle w:val="Normal"/>
        <w:suppressAutoHyphens w:val="true"/>
        <w:spacing w:before="0" w:after="0"/>
        <w:ind w:left="708" w:right="302" w:firstLine="708"/>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Директор КП «ТЖКП»</w:t>
        <w:tab/>
        <w:tab/>
        <w:tab/>
        <w:tab/>
        <w:t>Г.Г. Мамедов</w:t>
      </w:r>
    </w:p>
    <w:p>
      <w:pPr>
        <w:pStyle w:val="Normal"/>
        <w:suppressAutoHyphens w:val="true"/>
        <w:spacing w:before="0" w:after="0"/>
        <w:ind w:left="708" w:right="302" w:firstLine="708"/>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p>
      <w:pPr>
        <w:pStyle w:val="Normal"/>
        <w:suppressAutoHyphens w:val="true"/>
        <w:spacing w:before="0" w:after="0"/>
        <w:ind w:left="708" w:right="302" w:firstLine="708"/>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Головний бухгалтер</w:t>
        <w:tab/>
        <w:tab/>
        <w:tab/>
        <w:tab/>
        <w:tab/>
        <w:t>Т.М. Шубодьорова</w:t>
      </w:r>
    </w:p>
    <w:p>
      <w:pPr>
        <w:pStyle w:val="Normal"/>
        <w:suppressAutoHyphens w:val="true"/>
        <w:spacing w:before="0" w:after="0"/>
        <w:ind w:left="708" w:right="302" w:firstLine="708"/>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p>
      <w:pPr>
        <w:pStyle w:val="Normal"/>
        <w:suppressAutoHyphens w:val="true"/>
        <w:spacing w:before="0" w:after="0"/>
        <w:ind w:left="708" w:right="302" w:firstLine="708"/>
        <w:rPr>
          <w:rFonts w:ascii="Times New Roman" w:hAnsi="Times New Roman" w:eastAsia="Times New Roman" w:cs="Times New Roman"/>
          <w:b/>
          <w:b/>
          <w:sz w:val="24"/>
          <w:szCs w:val="24"/>
          <w:lang w:val="uk-UA" w:eastAsia="ar-SA"/>
        </w:rPr>
      </w:pPr>
      <w:r>
        <w:rPr>
          <w:rFonts w:eastAsia="Times New Roman" w:cs="Times New Roman" w:ascii="Times New Roman" w:hAnsi="Times New Roman"/>
          <w:sz w:val="24"/>
          <w:szCs w:val="24"/>
          <w:lang w:val="uk-UA" w:eastAsia="ru-RU"/>
        </w:rPr>
        <w:t>Начальник ВТ та ПЕВ</w:t>
        <w:tab/>
        <w:tab/>
        <w:tab/>
        <w:tab/>
        <w:t>Н.В. Носова</w:t>
      </w:r>
    </w:p>
    <w:sectPr>
      <w:footerReference w:type="default" r:id="rId8"/>
      <w:type w:val="nextPage"/>
      <w:pgSz w:w="11906" w:h="16838"/>
      <w:pgMar w:left="1701" w:right="567" w:header="0" w:top="1134" w:footer="709"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70068685"/>
    </w:sdtPr>
    <w:sdtContent>
      <w:p>
        <w:pPr>
          <w:pStyle w:val="Style25"/>
          <w:jc w:val="center"/>
          <w:rPr/>
        </w:pPr>
        <w:r>
          <w:rPr/>
          <w:fldChar w:fldCharType="begin"/>
        </w:r>
        <w:r>
          <w:rPr/>
          <w:instrText> PAGE </w:instrText>
        </w:r>
        <w:r>
          <w:rPr/>
          <w:fldChar w:fldCharType="separate"/>
        </w:r>
        <w:r>
          <w:rPr/>
          <w:t>2</w:t>
        </w:r>
        <w:r>
          <w:rPr/>
          <w:fldChar w:fldCharType="end"/>
        </w:r>
      </w:p>
    </w:sdtContent>
  </w:sdt>
  <w:p>
    <w:pPr>
      <w:pStyle w:val="Style25"/>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8"/>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72cd3"/>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4"/>
    <w:uiPriority w:val="99"/>
    <w:semiHidden/>
    <w:qFormat/>
    <w:rsid w:val="009c4cd5"/>
    <w:rPr>
      <w:rFonts w:ascii="Tahoma" w:hAnsi="Tahoma" w:cs="Tahoma"/>
      <w:sz w:val="16"/>
      <w:szCs w:val="16"/>
    </w:rPr>
  </w:style>
  <w:style w:type="character" w:styleId="Style15" w:customStyle="1">
    <w:name w:val="Основной текст Знак"/>
    <w:basedOn w:val="DefaultParagraphFont"/>
    <w:link w:val="a8"/>
    <w:uiPriority w:val="99"/>
    <w:semiHidden/>
    <w:qFormat/>
    <w:rsid w:val="008665ba"/>
    <w:rPr>
      <w:rFonts w:ascii="Times New Roman" w:hAnsi="Times New Roman" w:eastAsia="Times New Roman" w:cs="Times New Roman"/>
      <w:sz w:val="24"/>
      <w:szCs w:val="24"/>
      <w:lang w:eastAsia="ru-RU"/>
    </w:rPr>
  </w:style>
  <w:style w:type="character" w:styleId="Style16" w:customStyle="1">
    <w:name w:val="Верхний колонтитул Знак"/>
    <w:basedOn w:val="DefaultParagraphFont"/>
    <w:link w:val="aa"/>
    <w:uiPriority w:val="99"/>
    <w:semiHidden/>
    <w:qFormat/>
    <w:rsid w:val="00e55199"/>
    <w:rPr/>
  </w:style>
  <w:style w:type="character" w:styleId="Style17" w:customStyle="1">
    <w:name w:val="Нижний колонтитул Знак"/>
    <w:basedOn w:val="DefaultParagraphFont"/>
    <w:link w:val="ac"/>
    <w:uiPriority w:val="99"/>
    <w:qFormat/>
    <w:rsid w:val="00e55199"/>
    <w:rPr/>
  </w:style>
  <w:style w:type="paragraph" w:styleId="Style18">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link w:val="a9"/>
    <w:uiPriority w:val="99"/>
    <w:semiHidden/>
    <w:unhideWhenUsed/>
    <w:rsid w:val="008665ba"/>
    <w:pPr>
      <w:spacing w:lineRule="auto" w:line="240" w:before="0" w:after="120"/>
    </w:pPr>
    <w:rPr>
      <w:rFonts w:ascii="Times New Roman" w:hAnsi="Times New Roman" w:eastAsia="Times New Roman" w:cs="Times New Roman"/>
      <w:sz w:val="24"/>
      <w:szCs w:val="24"/>
      <w:lang w:eastAsia="ru-RU"/>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Docdata" w:customStyle="1">
    <w:name w:val="docdata"/>
    <w:basedOn w:val="Normal"/>
    <w:qFormat/>
    <w:rsid w:val="00610299"/>
    <w:pPr>
      <w:spacing w:lineRule="auto" w:line="240" w:beforeAutospacing="1" w:afterAutospacing="1"/>
    </w:pPr>
    <w:rPr>
      <w:rFonts w:ascii="Times New Roman" w:hAnsi="Times New Roman" w:eastAsia="Times New Roman" w:cs="Times New Roman"/>
      <w:sz w:val="24"/>
      <w:szCs w:val="24"/>
      <w:lang w:eastAsia="ru-RU"/>
    </w:rPr>
  </w:style>
  <w:style w:type="paragraph" w:styleId="NormalWeb">
    <w:name w:val="Normal (Web)"/>
    <w:basedOn w:val="Normal"/>
    <w:uiPriority w:val="99"/>
    <w:semiHidden/>
    <w:unhideWhenUsed/>
    <w:qFormat/>
    <w:rsid w:val="00610299"/>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a5"/>
    <w:uiPriority w:val="99"/>
    <w:semiHidden/>
    <w:unhideWhenUsed/>
    <w:qFormat/>
    <w:rsid w:val="009c4cd5"/>
    <w:pPr>
      <w:spacing w:lineRule="auto" w:line="240" w:before="0" w:after="0"/>
    </w:pPr>
    <w:rPr>
      <w:rFonts w:ascii="Tahoma" w:hAnsi="Tahoma" w:cs="Tahoma"/>
      <w:sz w:val="16"/>
      <w:szCs w:val="16"/>
    </w:rPr>
  </w:style>
  <w:style w:type="paragraph" w:styleId="Standard" w:customStyle="1">
    <w:name w:val="Standard"/>
    <w:qFormat/>
    <w:rsid w:val="00c04a5f"/>
    <w:pPr>
      <w:widowControl/>
      <w:suppressAutoHyphens w:val="true"/>
      <w:bidi w:val="0"/>
      <w:spacing w:lineRule="auto" w:line="240" w:before="0" w:after="0"/>
      <w:jc w:val="left"/>
      <w:textAlignment w:val="baseline"/>
    </w:pPr>
    <w:rPr>
      <w:rFonts w:ascii="Times New Roman" w:hAnsi="Times New Roman" w:eastAsia="Times New Roman" w:cs="Times New Roman"/>
      <w:color w:val="auto"/>
      <w:kern w:val="2"/>
      <w:sz w:val="24"/>
      <w:szCs w:val="24"/>
      <w:lang w:eastAsia="zh-CN" w:val="ru-RU" w:bidi="ar-SA"/>
    </w:rPr>
  </w:style>
  <w:style w:type="paragraph" w:styleId="NoSpacing">
    <w:name w:val="No Spacing"/>
    <w:uiPriority w:val="1"/>
    <w:qFormat/>
    <w:rsid w:val="00334f9d"/>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ListParagraph">
    <w:name w:val="List Paragraph"/>
    <w:basedOn w:val="Normal"/>
    <w:uiPriority w:val="34"/>
    <w:qFormat/>
    <w:rsid w:val="00ec3085"/>
    <w:pPr>
      <w:spacing w:lineRule="auto" w:line="240" w:before="0" w:after="0"/>
      <w:ind w:left="720" w:hanging="0"/>
      <w:contextualSpacing/>
    </w:pPr>
    <w:rPr>
      <w:rFonts w:ascii="Times New Roman" w:hAnsi="Times New Roman" w:eastAsia="Times New Roman" w:cs="Times New Roman"/>
      <w:color w:val="000000"/>
      <w:sz w:val="32"/>
      <w:szCs w:val="20"/>
      <w:lang w:eastAsia="ru-RU"/>
    </w:rPr>
  </w:style>
  <w:style w:type="paragraph" w:styleId="Style23">
    <w:name w:val="Верхний и нижний колонтитулы"/>
    <w:basedOn w:val="Normal"/>
    <w:qFormat/>
    <w:pPr/>
    <w:rPr/>
  </w:style>
  <w:style w:type="paragraph" w:styleId="Style24">
    <w:name w:val="Header"/>
    <w:basedOn w:val="Normal"/>
    <w:link w:val="ab"/>
    <w:uiPriority w:val="99"/>
    <w:semiHidden/>
    <w:unhideWhenUsed/>
    <w:rsid w:val="00e55199"/>
    <w:pPr>
      <w:tabs>
        <w:tab w:val="clear" w:pos="708"/>
        <w:tab w:val="center" w:pos="4819" w:leader="none"/>
        <w:tab w:val="right" w:pos="9639" w:leader="none"/>
      </w:tabs>
      <w:spacing w:lineRule="auto" w:line="240" w:before="0" w:after="0"/>
    </w:pPr>
    <w:rPr/>
  </w:style>
  <w:style w:type="paragraph" w:styleId="Style25">
    <w:name w:val="Footer"/>
    <w:basedOn w:val="Normal"/>
    <w:link w:val="ad"/>
    <w:uiPriority w:val="99"/>
    <w:unhideWhenUsed/>
    <w:rsid w:val="00e55199"/>
    <w:pPr>
      <w:tabs>
        <w:tab w:val="clear" w:pos="708"/>
        <w:tab w:val="center" w:pos="4819" w:leader="none"/>
        <w:tab w:val="right" w:pos="9639"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83A14-313B-4CC2-9B76-71C41670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Application>LibreOffice/6.4.0.3$Windows_X86_64 LibreOffice_project/b0a288ab3d2d4774cb44b62f04d5d28733ac6df8</Application>
  <Pages>11</Pages>
  <Words>2362</Words>
  <Characters>17109</Characters>
  <CharactersWithSpaces>19264</CharactersWithSpaces>
  <Paragraphs>212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2019-02-20T11:58:00Z</dcterms:created>
  <dc:creator>Admin</dc:creator>
  <dc:description/>
  <dc:language>ru-RU</dc:language>
  <cp:lastModifiedBy/>
  <cp:lastPrinted>2021-04-13T13:14:00Z</cp:lastPrinted>
  <dcterms:modified xsi:type="dcterms:W3CDTF">2021-04-15T15:04:12Z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